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598F" w14:textId="6C9E397C" w:rsidR="00B23DFA" w:rsidRPr="00F878D0" w:rsidRDefault="00313602" w:rsidP="00F86EFD">
      <w:pPr>
        <w:rPr>
          <w:rFonts w:eastAsia="Arial" w:cs="Calibri"/>
          <w:b/>
          <w:bCs/>
          <w:sz w:val="32"/>
          <w:szCs w:val="32"/>
        </w:rPr>
      </w:pPr>
      <w:r w:rsidRPr="3B30DC6B">
        <w:rPr>
          <w:rFonts w:eastAsia="Arial" w:cs="Calibri"/>
          <w:b/>
          <w:bCs/>
          <w:sz w:val="32"/>
          <w:szCs w:val="32"/>
        </w:rPr>
        <w:t xml:space="preserve">Appendix K: </w:t>
      </w:r>
      <w:r w:rsidR="00B23DFA" w:rsidRPr="3B30DC6B">
        <w:rPr>
          <w:rFonts w:eastAsia="Arial" w:cs="Calibri"/>
          <w:b/>
          <w:bCs/>
          <w:sz w:val="32"/>
          <w:szCs w:val="32"/>
        </w:rPr>
        <w:t>Primary Care Sub-</w:t>
      </w:r>
      <w:r w:rsidR="007175C6" w:rsidRPr="3B30DC6B">
        <w:rPr>
          <w:rFonts w:eastAsia="Arial" w:cs="Calibri"/>
          <w:b/>
          <w:bCs/>
          <w:sz w:val="32"/>
          <w:szCs w:val="32"/>
        </w:rPr>
        <w:t>C</w:t>
      </w:r>
      <w:r w:rsidR="00B23DFA" w:rsidRPr="3B30DC6B">
        <w:rPr>
          <w:rFonts w:eastAsia="Arial" w:cs="Calibri"/>
          <w:b/>
          <w:bCs/>
          <w:sz w:val="32"/>
          <w:szCs w:val="32"/>
        </w:rPr>
        <w:t xml:space="preserve">apitation </w:t>
      </w:r>
      <w:r w:rsidRPr="3B30DC6B">
        <w:rPr>
          <w:rFonts w:eastAsia="Arial" w:cs="Calibri"/>
          <w:b/>
          <w:bCs/>
          <w:sz w:val="32"/>
          <w:szCs w:val="32"/>
        </w:rPr>
        <w:t xml:space="preserve">Program </w:t>
      </w:r>
    </w:p>
    <w:p w14:paraId="05128FC1" w14:textId="298A2ABC" w:rsidR="00B23DFA" w:rsidRPr="003F56CC" w:rsidRDefault="00876C1B" w:rsidP="00F86EFD">
      <w:pPr>
        <w:rPr>
          <w:sz w:val="24"/>
          <w:szCs w:val="24"/>
        </w:rPr>
      </w:pPr>
      <w:r>
        <w:rPr>
          <w:rFonts w:eastAsia="Arial" w:cs="Calibri"/>
          <w:b/>
          <w:noProof/>
          <w:sz w:val="24"/>
          <w:szCs w:val="24"/>
        </w:rPr>
        <w:pict w14:anchorId="574C69F8">
          <v:rect id="_x0000_i1025" alt="" style="width:468pt;height:.05pt;mso-width-percent:0;mso-height-percent:0;mso-width-percent:0;mso-height-percent:0" o:hralign="center" o:hrstd="t" o:hr="t" fillcolor="#a0a0a0" stroked="f"/>
        </w:pict>
      </w:r>
    </w:p>
    <w:p w14:paraId="40071FDD" w14:textId="0C6883D3" w:rsidR="007175C6" w:rsidRPr="00F878D0" w:rsidRDefault="00AB351D" w:rsidP="00F86EFD">
      <w:pPr>
        <w:ind w:left="20"/>
        <w:rPr>
          <w:rFonts w:eastAsia="Arial" w:cs="Calibri"/>
          <w:sz w:val="24"/>
          <w:szCs w:val="24"/>
        </w:rPr>
      </w:pPr>
      <w:bookmarkStart w:id="0" w:name="page1"/>
      <w:bookmarkEnd w:id="0"/>
      <w:r w:rsidRPr="00F878D0">
        <w:rPr>
          <w:rFonts w:cs="Calibri"/>
          <w:noProof/>
          <w:sz w:val="24"/>
          <w:szCs w:val="24"/>
        </w:rPr>
        <w:drawing>
          <wp:inline distT="0" distB="0" distL="0" distR="0" wp14:anchorId="3541A1F0" wp14:editId="7A04978A">
            <wp:extent cx="1511300" cy="741680"/>
            <wp:effectExtent l="0" t="0" r="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0" cy="741680"/>
                    </a:xfrm>
                    <a:prstGeom prst="rect">
                      <a:avLst/>
                    </a:prstGeom>
                    <a:noFill/>
                  </pic:spPr>
                </pic:pic>
              </a:graphicData>
            </a:graphic>
          </wp:inline>
        </w:drawing>
      </w:r>
    </w:p>
    <w:p w14:paraId="6C5E34C1" w14:textId="77777777" w:rsidR="007175C6" w:rsidRPr="003F56CC" w:rsidRDefault="007175C6" w:rsidP="00F86EFD">
      <w:pPr>
        <w:rPr>
          <w:sz w:val="24"/>
          <w:szCs w:val="24"/>
        </w:rPr>
      </w:pPr>
      <w:r w:rsidRPr="003F56CC">
        <w:rPr>
          <w:sz w:val="24"/>
          <w:szCs w:val="24"/>
        </w:rPr>
        <w:t>Commonwealth of Massachusetts</w:t>
      </w:r>
    </w:p>
    <w:p w14:paraId="1CF6705F" w14:textId="356854C9" w:rsidR="007175C6" w:rsidRPr="003F56CC" w:rsidRDefault="007175C6" w:rsidP="00F86EFD">
      <w:pPr>
        <w:rPr>
          <w:sz w:val="24"/>
          <w:szCs w:val="24"/>
        </w:rPr>
      </w:pPr>
      <w:r w:rsidRPr="003F56CC">
        <w:rPr>
          <w:sz w:val="24"/>
          <w:szCs w:val="24"/>
        </w:rPr>
        <w:t xml:space="preserve">Executive Office of Health and Human Services </w:t>
      </w:r>
      <w:hyperlink r:id="rId12" w:history="1">
        <w:r w:rsidR="003F56CC" w:rsidRPr="00D50005">
          <w:rPr>
            <w:rStyle w:val="Hyperlink"/>
            <w:sz w:val="24"/>
            <w:szCs w:val="24"/>
          </w:rPr>
          <w:t>www.mass.gov/masshealth</w:t>
        </w:r>
      </w:hyperlink>
      <w:r w:rsidR="003F56CC">
        <w:rPr>
          <w:sz w:val="24"/>
          <w:szCs w:val="24"/>
        </w:rPr>
        <w:t xml:space="preserve"> </w:t>
      </w:r>
    </w:p>
    <w:p w14:paraId="56419B9C" w14:textId="77777777" w:rsidR="009F3258" w:rsidRDefault="009F3258" w:rsidP="00F86EFD">
      <w:pPr>
        <w:rPr>
          <w:b/>
          <w:sz w:val="24"/>
          <w:szCs w:val="24"/>
        </w:rPr>
      </w:pPr>
    </w:p>
    <w:p w14:paraId="5C7F7FF4" w14:textId="225C9EB7" w:rsidR="009F3258" w:rsidRPr="003F56CC" w:rsidRDefault="009F3258" w:rsidP="00F86EFD">
      <w:pPr>
        <w:rPr>
          <w:b/>
          <w:sz w:val="24"/>
          <w:szCs w:val="24"/>
        </w:rPr>
      </w:pPr>
      <w:r w:rsidRPr="003F56CC">
        <w:rPr>
          <w:b/>
          <w:sz w:val="24"/>
          <w:szCs w:val="24"/>
        </w:rPr>
        <w:t>EXHIBIT 1: Practice Tier Designation Attestation</w:t>
      </w:r>
    </w:p>
    <w:p w14:paraId="6D911B86" w14:textId="5D1A4619" w:rsidR="008341E6" w:rsidRPr="00F878D0" w:rsidRDefault="00876C1B" w:rsidP="00F86EFD">
      <w:pPr>
        <w:rPr>
          <w:rFonts w:eastAsia="Times New Roman"/>
        </w:rPr>
      </w:pPr>
      <w:r>
        <w:rPr>
          <w:noProof/>
        </w:rPr>
        <w:pict w14:anchorId="750F0AB2">
          <v:rect id="_x0000_i1026" alt="" style="width:468pt;height:.05pt;mso-width-percent:0;mso-height-percent:0;mso-width-percent:0;mso-height-percent:0" o:hralign="center" o:hrstd="t" o:hr="t" fillcolor="#a0a0a0" stroked="f"/>
        </w:pict>
      </w:r>
    </w:p>
    <w:p w14:paraId="5D954E77" w14:textId="4A7B9DB8" w:rsidR="008341E6" w:rsidRPr="00F878D0" w:rsidRDefault="006D583D" w:rsidP="00CD6AB4">
      <w:pPr>
        <w:pStyle w:val="Heading2"/>
        <w:spacing w:before="120" w:after="120"/>
        <w:rPr>
          <w:color w:val="000000" w:themeColor="text1"/>
        </w:rPr>
      </w:pPr>
      <w:r w:rsidRPr="00F878D0">
        <w:rPr>
          <w:color w:val="000000" w:themeColor="text1"/>
        </w:rPr>
        <w:t>SECTION</w:t>
      </w:r>
      <w:r w:rsidR="008341E6" w:rsidRPr="00F878D0">
        <w:rPr>
          <w:color w:val="000000" w:themeColor="text1"/>
        </w:rPr>
        <w:t xml:space="preserve"> </w:t>
      </w:r>
      <w:r w:rsidRPr="00F878D0">
        <w:rPr>
          <w:color w:val="000000" w:themeColor="text1"/>
        </w:rPr>
        <w:t>I</w:t>
      </w:r>
      <w:r w:rsidR="008341E6" w:rsidRPr="00F878D0">
        <w:rPr>
          <w:color w:val="000000" w:themeColor="text1"/>
        </w:rPr>
        <w:t>: Instructions</w:t>
      </w:r>
    </w:p>
    <w:p w14:paraId="4DABF8D1" w14:textId="7527E77F" w:rsidR="006D583D" w:rsidRPr="00F878D0" w:rsidRDefault="00B23DFA" w:rsidP="00CD6AB4">
      <w:pPr>
        <w:spacing w:before="120" w:after="120"/>
        <w:rPr>
          <w:rFonts w:eastAsia="Times New Roman" w:cs="Calibri"/>
          <w:sz w:val="24"/>
          <w:szCs w:val="24"/>
        </w:rPr>
      </w:pPr>
      <w:r w:rsidRPr="36AF73CC">
        <w:rPr>
          <w:rFonts w:eastAsia="Times New Roman" w:cs="Calibri"/>
          <w:sz w:val="24"/>
          <w:szCs w:val="24"/>
        </w:rPr>
        <w:t xml:space="preserve">The </w:t>
      </w:r>
      <w:r w:rsidR="008341E6" w:rsidRPr="36AF73CC">
        <w:rPr>
          <w:rFonts w:eastAsia="Times New Roman" w:cs="Calibri"/>
          <w:sz w:val="24"/>
          <w:szCs w:val="24"/>
        </w:rPr>
        <w:t xml:space="preserve">Contractor shall collect and </w:t>
      </w:r>
      <w:proofErr w:type="gramStart"/>
      <w:r w:rsidR="008341E6" w:rsidRPr="36AF73CC">
        <w:rPr>
          <w:rFonts w:eastAsia="Times New Roman" w:cs="Calibri"/>
          <w:sz w:val="24"/>
          <w:szCs w:val="24"/>
        </w:rPr>
        <w:t>at all times</w:t>
      </w:r>
      <w:proofErr w:type="gramEnd"/>
      <w:r w:rsidR="008341E6" w:rsidRPr="36AF73CC">
        <w:rPr>
          <w:rFonts w:eastAsia="Times New Roman" w:cs="Calibri"/>
          <w:sz w:val="24"/>
          <w:szCs w:val="24"/>
        </w:rPr>
        <w:t xml:space="preserve"> shall maintain a copy of the </w:t>
      </w:r>
      <w:r w:rsidR="008341E6" w:rsidRPr="36AF73CC">
        <w:rPr>
          <w:rFonts w:eastAsia="Times New Roman" w:cs="Calibri"/>
          <w:b/>
          <w:bCs/>
          <w:sz w:val="24"/>
          <w:szCs w:val="24"/>
        </w:rPr>
        <w:t>Practice Tier Designation Attestation</w:t>
      </w:r>
      <w:r w:rsidRPr="36AF73CC">
        <w:rPr>
          <w:rFonts w:eastAsia="Times New Roman" w:cs="Calibri"/>
          <w:sz w:val="24"/>
          <w:szCs w:val="24"/>
        </w:rPr>
        <w:t xml:space="preserve"> </w:t>
      </w:r>
      <w:r w:rsidR="008341E6" w:rsidRPr="36AF73CC">
        <w:rPr>
          <w:rFonts w:eastAsia="Times New Roman" w:cs="Calibri"/>
          <w:sz w:val="24"/>
          <w:szCs w:val="24"/>
        </w:rPr>
        <w:t xml:space="preserve">for </w:t>
      </w:r>
      <w:r w:rsidR="008341E6" w:rsidRPr="36AF73CC">
        <w:rPr>
          <w:rFonts w:eastAsia="Times New Roman" w:cs="Calibri"/>
          <w:b/>
          <w:bCs/>
          <w:sz w:val="24"/>
          <w:szCs w:val="24"/>
        </w:rPr>
        <w:t>each of its Network</w:t>
      </w:r>
      <w:r w:rsidR="0019722B" w:rsidRPr="36AF73CC">
        <w:rPr>
          <w:rFonts w:eastAsia="Times New Roman" w:cs="Calibri"/>
          <w:b/>
          <w:bCs/>
          <w:sz w:val="24"/>
          <w:szCs w:val="24"/>
        </w:rPr>
        <w:t xml:space="preserve"> </w:t>
      </w:r>
      <w:r w:rsidR="0019722B" w:rsidRPr="36AF73CC">
        <w:rPr>
          <w:rFonts w:cs="Calibri"/>
          <w:b/>
          <w:bCs/>
          <w:sz w:val="24"/>
          <w:szCs w:val="24"/>
        </w:rPr>
        <w:t xml:space="preserve">PCPs (ACPP) or </w:t>
      </w:r>
      <w:r w:rsidR="008341E6" w:rsidRPr="36AF73CC">
        <w:rPr>
          <w:rFonts w:eastAsia="Times New Roman" w:cs="Calibri"/>
          <w:b/>
          <w:bCs/>
          <w:sz w:val="24"/>
          <w:szCs w:val="24"/>
        </w:rPr>
        <w:t xml:space="preserve">Participating PCPs </w:t>
      </w:r>
      <w:r w:rsidR="0019722B" w:rsidRPr="36AF73CC">
        <w:rPr>
          <w:rFonts w:eastAsia="Times New Roman" w:cs="Calibri"/>
          <w:b/>
          <w:bCs/>
          <w:sz w:val="24"/>
          <w:szCs w:val="24"/>
        </w:rPr>
        <w:t>(PCACO</w:t>
      </w:r>
      <w:r w:rsidR="1DF75512" w:rsidRPr="36AF73CC">
        <w:rPr>
          <w:rFonts w:eastAsia="Times New Roman" w:cs="Calibri"/>
          <w:b/>
          <w:bCs/>
          <w:sz w:val="24"/>
          <w:szCs w:val="24"/>
        </w:rPr>
        <w:t>)</w:t>
      </w:r>
      <w:r w:rsidR="1DF75512" w:rsidRPr="36AF73CC">
        <w:rPr>
          <w:rFonts w:eastAsia="Times New Roman" w:cs="Calibri"/>
          <w:sz w:val="24"/>
          <w:szCs w:val="24"/>
        </w:rPr>
        <w:t>, as listed in Appendix S or Appendix J,</w:t>
      </w:r>
      <w:r w:rsidR="0019722B" w:rsidRPr="36AF73CC">
        <w:rPr>
          <w:rFonts w:eastAsia="Times New Roman" w:cs="Calibri"/>
          <w:b/>
          <w:bCs/>
          <w:sz w:val="24"/>
          <w:szCs w:val="24"/>
        </w:rPr>
        <w:t xml:space="preserve"> </w:t>
      </w:r>
      <w:r w:rsidR="008341E6" w:rsidRPr="36AF73CC">
        <w:rPr>
          <w:rFonts w:eastAsia="Times New Roman" w:cs="Calibri"/>
          <w:sz w:val="24"/>
          <w:szCs w:val="24"/>
        </w:rPr>
        <w:t>signed by the Contractor and an authorized representative of the Network/Participating PCP.</w:t>
      </w:r>
      <w:r w:rsidR="008341E6" w:rsidRPr="36AF73CC">
        <w:rPr>
          <w:rFonts w:eastAsia="Times New Roman" w:cs="Calibri"/>
          <w:b/>
          <w:bCs/>
          <w:sz w:val="24"/>
          <w:szCs w:val="24"/>
        </w:rPr>
        <w:t xml:space="preserve"> </w:t>
      </w:r>
      <w:r w:rsidR="008341E6" w:rsidRPr="36AF73CC">
        <w:rPr>
          <w:rFonts w:eastAsia="Times New Roman" w:cs="Calibri"/>
          <w:sz w:val="24"/>
          <w:szCs w:val="24"/>
        </w:rPr>
        <w:t xml:space="preserve">The Contractor shall provide EOHHS with such copies upon request. </w:t>
      </w:r>
    </w:p>
    <w:p w14:paraId="06FEAF49" w14:textId="7F248C27" w:rsidR="006D583D" w:rsidRPr="00F878D0" w:rsidRDefault="75678D00" w:rsidP="00CD6AB4">
      <w:pPr>
        <w:spacing w:before="120" w:after="120"/>
        <w:rPr>
          <w:rFonts w:eastAsia="Times New Roman" w:cs="Calibri"/>
          <w:sz w:val="24"/>
          <w:szCs w:val="24"/>
        </w:rPr>
      </w:pPr>
      <w:r w:rsidRPr="36AF73CC">
        <w:rPr>
          <w:rFonts w:eastAsia="Times New Roman" w:cs="Calibri"/>
          <w:sz w:val="24"/>
          <w:szCs w:val="24"/>
        </w:rPr>
        <w:t>Each Network</w:t>
      </w:r>
      <w:r w:rsidR="4444FAC0" w:rsidRPr="36AF73CC">
        <w:rPr>
          <w:rFonts w:eastAsia="Times New Roman" w:cs="Calibri"/>
          <w:sz w:val="24"/>
          <w:szCs w:val="24"/>
        </w:rPr>
        <w:t xml:space="preserve"> PCP or </w:t>
      </w:r>
      <w:r w:rsidRPr="36AF73CC">
        <w:rPr>
          <w:rFonts w:eastAsia="Times New Roman" w:cs="Calibri"/>
          <w:sz w:val="24"/>
          <w:szCs w:val="24"/>
        </w:rPr>
        <w:t xml:space="preserve">Participating PCP shall have a single, unique Tier Designation. </w:t>
      </w:r>
      <w:r w:rsidR="76F55B7A" w:rsidRPr="36AF73CC">
        <w:rPr>
          <w:rFonts w:eastAsia="Times New Roman" w:cs="Calibri"/>
          <w:sz w:val="24"/>
          <w:szCs w:val="24"/>
        </w:rPr>
        <w:t>For the purposes of this the Primary Care Sub-Capitation Program, “Practice” shall mean a Network</w:t>
      </w:r>
      <w:r w:rsidR="62126531" w:rsidRPr="36AF73CC">
        <w:rPr>
          <w:rFonts w:eastAsia="Times New Roman" w:cs="Calibri"/>
          <w:sz w:val="24"/>
          <w:szCs w:val="24"/>
        </w:rPr>
        <w:t xml:space="preserve"> PCP</w:t>
      </w:r>
      <w:r w:rsidR="6ECCB8DA" w:rsidRPr="36AF73CC">
        <w:rPr>
          <w:rFonts w:eastAsia="Times New Roman" w:cs="Calibri"/>
          <w:sz w:val="24"/>
          <w:szCs w:val="24"/>
        </w:rPr>
        <w:t>’s</w:t>
      </w:r>
      <w:r w:rsidR="62126531" w:rsidRPr="36AF73CC">
        <w:rPr>
          <w:rFonts w:eastAsia="Times New Roman" w:cs="Calibri"/>
          <w:sz w:val="24"/>
          <w:szCs w:val="24"/>
        </w:rPr>
        <w:t xml:space="preserve"> or </w:t>
      </w:r>
      <w:r w:rsidR="76F55B7A" w:rsidRPr="36AF73CC">
        <w:rPr>
          <w:rFonts w:eastAsia="Times New Roman" w:cs="Calibri"/>
          <w:sz w:val="24"/>
          <w:szCs w:val="24"/>
        </w:rPr>
        <w:t>Participating PCP’s unique</w:t>
      </w:r>
      <w:r w:rsidRPr="36AF73CC">
        <w:rPr>
          <w:rFonts w:eastAsia="Times New Roman" w:cs="Calibri"/>
          <w:sz w:val="24"/>
          <w:szCs w:val="24"/>
        </w:rPr>
        <w:t>, 10-digit</w:t>
      </w:r>
      <w:r w:rsidR="76F55B7A" w:rsidRPr="36AF73CC">
        <w:rPr>
          <w:rFonts w:eastAsia="Times New Roman" w:cs="Calibri"/>
          <w:sz w:val="24"/>
          <w:szCs w:val="24"/>
        </w:rPr>
        <w:t xml:space="preserve"> alpha-numeric Provider ID Site/Location (</w:t>
      </w:r>
      <w:r w:rsidR="66403068" w:rsidRPr="36AF73CC">
        <w:rPr>
          <w:rFonts w:eastAsia="Times New Roman" w:cs="Calibri"/>
          <w:sz w:val="24"/>
          <w:szCs w:val="24"/>
        </w:rPr>
        <w:t>PID/SL</w:t>
      </w:r>
      <w:r w:rsidR="76F55B7A" w:rsidRPr="36AF73CC">
        <w:rPr>
          <w:rFonts w:eastAsia="Times New Roman" w:cs="Calibri"/>
          <w:sz w:val="24"/>
          <w:szCs w:val="24"/>
        </w:rPr>
        <w:t xml:space="preserve">). </w:t>
      </w:r>
    </w:p>
    <w:p w14:paraId="67298C33" w14:textId="37DCE376" w:rsidR="00B23DFA" w:rsidRPr="00F878D0" w:rsidRDefault="00B23DFA" w:rsidP="00CD6AB4">
      <w:pPr>
        <w:spacing w:before="120" w:after="120"/>
        <w:rPr>
          <w:rFonts w:eastAsia="Arial" w:cs="Calibri"/>
          <w:b/>
          <w:bCs/>
          <w:sz w:val="24"/>
          <w:szCs w:val="24"/>
        </w:rPr>
      </w:pPr>
      <w:r w:rsidRPr="00F878D0">
        <w:rPr>
          <w:rFonts w:eastAsia="Arial" w:cs="Calibri"/>
          <w:b/>
          <w:bCs/>
          <w:sz w:val="24"/>
          <w:szCs w:val="24"/>
        </w:rPr>
        <w:t xml:space="preserve">Requirements for Tier Designation </w:t>
      </w:r>
    </w:p>
    <w:p w14:paraId="36E0C10A" w14:textId="5E83861C" w:rsidR="006478FA" w:rsidRPr="00F878D0" w:rsidRDefault="006478FA" w:rsidP="00F86EFD">
      <w:pPr>
        <w:numPr>
          <w:ilvl w:val="0"/>
          <w:numId w:val="1"/>
        </w:numPr>
        <w:tabs>
          <w:tab w:val="left" w:pos="614"/>
        </w:tabs>
        <w:ind w:left="600" w:hanging="280"/>
        <w:jc w:val="both"/>
        <w:rPr>
          <w:rFonts w:eastAsia="Times New Roman" w:cs="Calibri"/>
          <w:sz w:val="24"/>
          <w:szCs w:val="24"/>
        </w:rPr>
      </w:pPr>
      <w:r w:rsidRPr="00F878D0">
        <w:rPr>
          <w:rFonts w:eastAsia="Times New Roman" w:cs="Calibri"/>
          <w:sz w:val="24"/>
          <w:szCs w:val="24"/>
        </w:rPr>
        <w:t xml:space="preserve"> </w:t>
      </w:r>
      <w:r w:rsidR="00B23DFA" w:rsidRPr="00F878D0">
        <w:rPr>
          <w:rFonts w:eastAsia="Times New Roman" w:cs="Calibri"/>
          <w:sz w:val="24"/>
          <w:szCs w:val="24"/>
        </w:rPr>
        <w:t xml:space="preserve">Practices with Tier 1 designation must fulfill </w:t>
      </w:r>
      <w:r w:rsidR="00B23DFA" w:rsidRPr="00F878D0">
        <w:rPr>
          <w:rFonts w:eastAsia="Times New Roman" w:cs="Calibri"/>
          <w:b/>
          <w:bCs/>
          <w:sz w:val="24"/>
          <w:szCs w:val="24"/>
        </w:rPr>
        <w:t xml:space="preserve">all </w:t>
      </w:r>
      <w:r w:rsidR="00B23DFA" w:rsidRPr="00F878D0">
        <w:rPr>
          <w:rFonts w:eastAsia="Times New Roman" w:cs="Calibri"/>
          <w:sz w:val="24"/>
          <w:szCs w:val="24"/>
        </w:rPr>
        <w:t>Tier 1 care model requirements</w:t>
      </w:r>
    </w:p>
    <w:p w14:paraId="3113D2DD" w14:textId="2F8DB79C" w:rsidR="006478FA" w:rsidRPr="00F878D0" w:rsidRDefault="00B23DFA" w:rsidP="00F86EFD">
      <w:pPr>
        <w:numPr>
          <w:ilvl w:val="0"/>
          <w:numId w:val="1"/>
        </w:numPr>
        <w:tabs>
          <w:tab w:val="left" w:pos="620"/>
        </w:tabs>
        <w:ind w:left="620" w:hanging="300"/>
        <w:rPr>
          <w:rFonts w:eastAsia="Times New Roman" w:cs="Calibri"/>
          <w:sz w:val="24"/>
          <w:szCs w:val="24"/>
        </w:rPr>
      </w:pPr>
      <w:r w:rsidRPr="00F878D0">
        <w:rPr>
          <w:rFonts w:eastAsia="Times New Roman" w:cs="Calibri"/>
          <w:sz w:val="24"/>
          <w:szCs w:val="24"/>
        </w:rPr>
        <w:t xml:space="preserve">Practices with Tier 2 designation must fulfill </w:t>
      </w:r>
      <w:r w:rsidRPr="00F878D0">
        <w:rPr>
          <w:rFonts w:eastAsia="Times New Roman" w:cs="Calibri"/>
          <w:b/>
          <w:bCs/>
          <w:sz w:val="24"/>
          <w:szCs w:val="24"/>
        </w:rPr>
        <w:t xml:space="preserve">all </w:t>
      </w:r>
      <w:r w:rsidRPr="00F878D0">
        <w:rPr>
          <w:rFonts w:eastAsia="Times New Roman" w:cs="Calibri"/>
          <w:sz w:val="24"/>
          <w:szCs w:val="24"/>
        </w:rPr>
        <w:t xml:space="preserve">Tier 1 and Tier 2 care model requirements </w:t>
      </w:r>
    </w:p>
    <w:p w14:paraId="0020B26C" w14:textId="6AC9AF84" w:rsidR="006478FA" w:rsidRPr="00F878D0" w:rsidRDefault="00B23DFA" w:rsidP="00F86EFD">
      <w:pPr>
        <w:numPr>
          <w:ilvl w:val="0"/>
          <w:numId w:val="1"/>
        </w:numPr>
        <w:tabs>
          <w:tab w:val="left" w:pos="620"/>
        </w:tabs>
        <w:ind w:left="620" w:hanging="300"/>
        <w:rPr>
          <w:rFonts w:eastAsia="Times New Roman" w:cs="Calibri"/>
          <w:sz w:val="24"/>
          <w:szCs w:val="24"/>
        </w:rPr>
      </w:pPr>
      <w:r w:rsidRPr="00F878D0">
        <w:rPr>
          <w:rFonts w:eastAsia="Times New Roman" w:cs="Calibri"/>
          <w:sz w:val="24"/>
          <w:szCs w:val="24"/>
        </w:rPr>
        <w:t xml:space="preserve">Practices with Tier 3 designation must fulfill </w:t>
      </w:r>
      <w:r w:rsidRPr="00F878D0">
        <w:rPr>
          <w:rFonts w:eastAsia="Times New Roman" w:cs="Calibri"/>
          <w:b/>
          <w:bCs/>
          <w:sz w:val="24"/>
          <w:szCs w:val="24"/>
        </w:rPr>
        <w:t xml:space="preserve">all </w:t>
      </w:r>
      <w:r w:rsidRPr="00F878D0">
        <w:rPr>
          <w:rFonts w:eastAsia="Times New Roman" w:cs="Calibri"/>
          <w:sz w:val="24"/>
          <w:szCs w:val="24"/>
        </w:rPr>
        <w:t>Tier 1, 2, and 3 care model requirements</w:t>
      </w:r>
    </w:p>
    <w:p w14:paraId="21FFA8EF" w14:textId="6BEDC582" w:rsidR="006562C2" w:rsidRPr="003F56CC" w:rsidRDefault="00B23DFA" w:rsidP="00CD6AB4">
      <w:pPr>
        <w:pStyle w:val="Heading2"/>
        <w:spacing w:before="240" w:after="120"/>
        <w:rPr>
          <w:color w:val="000000" w:themeColor="text1"/>
        </w:rPr>
      </w:pPr>
      <w:r w:rsidRPr="003F56CC">
        <w:rPr>
          <w:color w:val="000000" w:themeColor="text1"/>
        </w:rPr>
        <w:t xml:space="preserve">SECTION </w:t>
      </w:r>
      <w:r w:rsidR="006D583D" w:rsidRPr="003F56CC">
        <w:rPr>
          <w:color w:val="000000" w:themeColor="text1"/>
        </w:rPr>
        <w:t>I</w:t>
      </w:r>
      <w:r w:rsidR="006562C2" w:rsidRPr="003F56CC">
        <w:rPr>
          <w:color w:val="000000" w:themeColor="text1"/>
        </w:rPr>
        <w:t>I</w:t>
      </w:r>
      <w:r w:rsidRPr="003F56CC">
        <w:rPr>
          <w:color w:val="000000" w:themeColor="text1"/>
        </w:rPr>
        <w:t xml:space="preserve">: </w:t>
      </w:r>
      <w:r w:rsidR="006562C2" w:rsidRPr="003F56CC">
        <w:rPr>
          <w:color w:val="000000" w:themeColor="text1"/>
        </w:rPr>
        <w:t>Practice Information</w:t>
      </w:r>
    </w:p>
    <w:tbl>
      <w:tblPr>
        <w:tblStyle w:val="TableGrid"/>
        <w:tblW w:w="0" w:type="auto"/>
        <w:tblLook w:val="04A0" w:firstRow="1" w:lastRow="0" w:firstColumn="1" w:lastColumn="0" w:noHBand="0" w:noVBand="1"/>
      </w:tblPr>
      <w:tblGrid>
        <w:gridCol w:w="3900"/>
        <w:gridCol w:w="6170"/>
      </w:tblGrid>
      <w:tr w:rsidR="006562C2" w:rsidRPr="00F878D0" w14:paraId="0B43212F" w14:textId="77777777" w:rsidTr="00CD6AB4">
        <w:trPr>
          <w:trHeight w:val="360"/>
        </w:trPr>
        <w:tc>
          <w:tcPr>
            <w:tcW w:w="3900" w:type="dxa"/>
            <w:vAlign w:val="center"/>
          </w:tcPr>
          <w:p w14:paraId="781337A4"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Name</w:t>
            </w:r>
          </w:p>
        </w:tc>
        <w:tc>
          <w:tcPr>
            <w:tcW w:w="6170" w:type="dxa"/>
            <w:vAlign w:val="center"/>
          </w:tcPr>
          <w:p w14:paraId="144A8E55" w14:textId="77777777" w:rsidR="006562C2" w:rsidRPr="00F878D0" w:rsidRDefault="006562C2" w:rsidP="00F86EFD">
            <w:pPr>
              <w:rPr>
                <w:rFonts w:eastAsia="Arial" w:cs="Calibri"/>
                <w:b/>
                <w:bCs/>
                <w:sz w:val="24"/>
                <w:szCs w:val="24"/>
              </w:rPr>
            </w:pPr>
          </w:p>
        </w:tc>
      </w:tr>
      <w:tr w:rsidR="006562C2" w:rsidRPr="00F878D0" w14:paraId="092C9BF9" w14:textId="77777777" w:rsidTr="00CD6AB4">
        <w:trPr>
          <w:trHeight w:val="360"/>
        </w:trPr>
        <w:tc>
          <w:tcPr>
            <w:tcW w:w="3900" w:type="dxa"/>
            <w:vAlign w:val="center"/>
          </w:tcPr>
          <w:p w14:paraId="295CB46F"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Street Address</w:t>
            </w:r>
          </w:p>
        </w:tc>
        <w:tc>
          <w:tcPr>
            <w:tcW w:w="6170" w:type="dxa"/>
            <w:vAlign w:val="center"/>
          </w:tcPr>
          <w:p w14:paraId="6482CE2E" w14:textId="77777777" w:rsidR="006562C2" w:rsidRPr="00F878D0" w:rsidRDefault="006562C2" w:rsidP="00F86EFD">
            <w:pPr>
              <w:rPr>
                <w:rFonts w:eastAsia="Arial" w:cs="Calibri"/>
                <w:b/>
                <w:bCs/>
                <w:sz w:val="24"/>
                <w:szCs w:val="24"/>
              </w:rPr>
            </w:pPr>
          </w:p>
        </w:tc>
      </w:tr>
      <w:tr w:rsidR="006562C2" w:rsidRPr="00F878D0" w14:paraId="2AD44E6E" w14:textId="77777777" w:rsidTr="00CD6AB4">
        <w:trPr>
          <w:trHeight w:val="360"/>
        </w:trPr>
        <w:tc>
          <w:tcPr>
            <w:tcW w:w="3900" w:type="dxa"/>
            <w:vAlign w:val="center"/>
          </w:tcPr>
          <w:p w14:paraId="0F684A18"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City</w:t>
            </w:r>
          </w:p>
        </w:tc>
        <w:tc>
          <w:tcPr>
            <w:tcW w:w="6170" w:type="dxa"/>
            <w:vAlign w:val="center"/>
          </w:tcPr>
          <w:p w14:paraId="2EEF3BC2" w14:textId="77777777" w:rsidR="006562C2" w:rsidRPr="00F878D0" w:rsidRDefault="006562C2" w:rsidP="00F86EFD">
            <w:pPr>
              <w:rPr>
                <w:rFonts w:eastAsia="Arial" w:cs="Calibri"/>
                <w:b/>
                <w:bCs/>
                <w:sz w:val="24"/>
                <w:szCs w:val="24"/>
              </w:rPr>
            </w:pPr>
          </w:p>
        </w:tc>
      </w:tr>
      <w:tr w:rsidR="006562C2" w:rsidRPr="00F878D0" w14:paraId="6C27694E" w14:textId="77777777" w:rsidTr="00CD6AB4">
        <w:trPr>
          <w:trHeight w:val="360"/>
        </w:trPr>
        <w:tc>
          <w:tcPr>
            <w:tcW w:w="3900" w:type="dxa"/>
            <w:vAlign w:val="center"/>
          </w:tcPr>
          <w:p w14:paraId="2DD19A58"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State</w:t>
            </w:r>
          </w:p>
        </w:tc>
        <w:tc>
          <w:tcPr>
            <w:tcW w:w="6170" w:type="dxa"/>
            <w:vAlign w:val="center"/>
          </w:tcPr>
          <w:p w14:paraId="5D1AE747" w14:textId="77777777" w:rsidR="006562C2" w:rsidRPr="00F878D0" w:rsidRDefault="006562C2" w:rsidP="00F86EFD">
            <w:pPr>
              <w:rPr>
                <w:rFonts w:eastAsia="Arial" w:cs="Calibri"/>
                <w:b/>
                <w:bCs/>
                <w:sz w:val="24"/>
                <w:szCs w:val="24"/>
              </w:rPr>
            </w:pPr>
          </w:p>
        </w:tc>
      </w:tr>
      <w:tr w:rsidR="006562C2" w:rsidRPr="00F878D0" w14:paraId="2FE88876" w14:textId="77777777" w:rsidTr="00CD6AB4">
        <w:trPr>
          <w:trHeight w:val="360"/>
        </w:trPr>
        <w:tc>
          <w:tcPr>
            <w:tcW w:w="3900" w:type="dxa"/>
            <w:vAlign w:val="center"/>
          </w:tcPr>
          <w:p w14:paraId="3EFFBF5C"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Zip Code</w:t>
            </w:r>
          </w:p>
        </w:tc>
        <w:tc>
          <w:tcPr>
            <w:tcW w:w="6170" w:type="dxa"/>
            <w:vAlign w:val="center"/>
          </w:tcPr>
          <w:p w14:paraId="745D0728" w14:textId="77777777" w:rsidR="006562C2" w:rsidRPr="00F878D0" w:rsidRDefault="006562C2" w:rsidP="00F86EFD">
            <w:pPr>
              <w:rPr>
                <w:rFonts w:eastAsia="Arial" w:cs="Calibri"/>
                <w:b/>
                <w:bCs/>
                <w:sz w:val="24"/>
                <w:szCs w:val="24"/>
              </w:rPr>
            </w:pPr>
          </w:p>
        </w:tc>
      </w:tr>
      <w:tr w:rsidR="006562C2" w:rsidRPr="00F878D0" w14:paraId="6BC24C9B" w14:textId="77777777" w:rsidTr="00CD6AB4">
        <w:trPr>
          <w:trHeight w:val="360"/>
        </w:trPr>
        <w:tc>
          <w:tcPr>
            <w:tcW w:w="3900" w:type="dxa"/>
            <w:vAlign w:val="center"/>
          </w:tcPr>
          <w:p w14:paraId="06C7E552"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Tax ID</w:t>
            </w:r>
          </w:p>
        </w:tc>
        <w:tc>
          <w:tcPr>
            <w:tcW w:w="6170" w:type="dxa"/>
            <w:vAlign w:val="center"/>
          </w:tcPr>
          <w:p w14:paraId="3DB53515" w14:textId="77777777" w:rsidR="006562C2" w:rsidRPr="00F878D0" w:rsidRDefault="006562C2" w:rsidP="00F86EFD">
            <w:pPr>
              <w:rPr>
                <w:rFonts w:eastAsia="Arial" w:cs="Calibri"/>
                <w:b/>
                <w:bCs/>
                <w:sz w:val="24"/>
                <w:szCs w:val="24"/>
              </w:rPr>
            </w:pPr>
          </w:p>
        </w:tc>
      </w:tr>
      <w:tr w:rsidR="006562C2" w:rsidRPr="00F878D0" w14:paraId="0C88FECC" w14:textId="77777777" w:rsidTr="00CD6AB4">
        <w:tc>
          <w:tcPr>
            <w:tcW w:w="3900" w:type="dxa"/>
            <w:vAlign w:val="center"/>
          </w:tcPr>
          <w:p w14:paraId="1801B851"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MassHealth Provider ID Site/Location (PIDS/L)</w:t>
            </w:r>
          </w:p>
        </w:tc>
        <w:tc>
          <w:tcPr>
            <w:tcW w:w="6170" w:type="dxa"/>
            <w:vAlign w:val="center"/>
          </w:tcPr>
          <w:p w14:paraId="1508C562" w14:textId="77777777" w:rsidR="006562C2" w:rsidRPr="00F878D0" w:rsidRDefault="006562C2" w:rsidP="00F86EFD">
            <w:pPr>
              <w:rPr>
                <w:rFonts w:eastAsia="Arial" w:cs="Calibri"/>
                <w:b/>
                <w:bCs/>
                <w:sz w:val="24"/>
                <w:szCs w:val="24"/>
              </w:rPr>
            </w:pPr>
          </w:p>
        </w:tc>
      </w:tr>
      <w:tr w:rsidR="006562C2" w:rsidRPr="00F878D0" w14:paraId="07A66CFD" w14:textId="77777777" w:rsidTr="00CD6AB4">
        <w:tc>
          <w:tcPr>
            <w:tcW w:w="3900" w:type="dxa"/>
            <w:vAlign w:val="center"/>
          </w:tcPr>
          <w:p w14:paraId="7EA38271" w14:textId="77777777" w:rsidR="006562C2" w:rsidRPr="00F878D0" w:rsidRDefault="006562C2" w:rsidP="00F86EFD">
            <w:pPr>
              <w:rPr>
                <w:rFonts w:eastAsia="Arial" w:cs="Calibri"/>
                <w:i/>
                <w:iCs/>
                <w:sz w:val="24"/>
                <w:szCs w:val="24"/>
              </w:rPr>
            </w:pPr>
            <w:r w:rsidRPr="00F878D0">
              <w:rPr>
                <w:rFonts w:eastAsia="Arial" w:cs="Calibri"/>
                <w:i/>
                <w:iCs/>
                <w:sz w:val="24"/>
                <w:szCs w:val="24"/>
              </w:rPr>
              <w:t>Name of Authorized Practice Representative</w:t>
            </w:r>
          </w:p>
        </w:tc>
        <w:tc>
          <w:tcPr>
            <w:tcW w:w="6170" w:type="dxa"/>
            <w:vAlign w:val="center"/>
          </w:tcPr>
          <w:p w14:paraId="61D01AF1" w14:textId="77777777" w:rsidR="006562C2" w:rsidRPr="00F878D0" w:rsidRDefault="006562C2" w:rsidP="00F86EFD">
            <w:pPr>
              <w:rPr>
                <w:rFonts w:eastAsia="Arial" w:cs="Calibri"/>
                <w:b/>
                <w:bCs/>
                <w:sz w:val="24"/>
                <w:szCs w:val="24"/>
              </w:rPr>
            </w:pPr>
          </w:p>
        </w:tc>
      </w:tr>
      <w:tr w:rsidR="006562C2" w:rsidRPr="00F878D0" w14:paraId="2A7E744A" w14:textId="77777777" w:rsidTr="00CD6AB4">
        <w:trPr>
          <w:trHeight w:val="288"/>
        </w:trPr>
        <w:tc>
          <w:tcPr>
            <w:tcW w:w="3900" w:type="dxa"/>
            <w:vAlign w:val="center"/>
          </w:tcPr>
          <w:p w14:paraId="16AFECCC"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Representative Phone Number</w:t>
            </w:r>
          </w:p>
        </w:tc>
        <w:tc>
          <w:tcPr>
            <w:tcW w:w="6170" w:type="dxa"/>
            <w:vAlign w:val="center"/>
          </w:tcPr>
          <w:p w14:paraId="761BFB23" w14:textId="77777777" w:rsidR="006562C2" w:rsidRPr="00F878D0" w:rsidRDefault="006562C2" w:rsidP="00F86EFD">
            <w:pPr>
              <w:rPr>
                <w:rFonts w:eastAsia="Arial" w:cs="Calibri"/>
                <w:b/>
                <w:bCs/>
                <w:sz w:val="24"/>
                <w:szCs w:val="24"/>
              </w:rPr>
            </w:pPr>
          </w:p>
        </w:tc>
      </w:tr>
      <w:tr w:rsidR="006562C2" w:rsidRPr="00F878D0" w14:paraId="258C9A6D" w14:textId="77777777" w:rsidTr="00CD6AB4">
        <w:trPr>
          <w:trHeight w:val="360"/>
        </w:trPr>
        <w:tc>
          <w:tcPr>
            <w:tcW w:w="3900" w:type="dxa"/>
            <w:vAlign w:val="center"/>
          </w:tcPr>
          <w:p w14:paraId="503FF70D" w14:textId="77777777" w:rsidR="006562C2" w:rsidRPr="00F878D0" w:rsidRDefault="006562C2" w:rsidP="00F86EFD">
            <w:pPr>
              <w:rPr>
                <w:rFonts w:eastAsia="Arial" w:cs="Calibri"/>
                <w:i/>
                <w:iCs/>
                <w:sz w:val="24"/>
                <w:szCs w:val="24"/>
              </w:rPr>
            </w:pPr>
            <w:r w:rsidRPr="00F878D0">
              <w:rPr>
                <w:rFonts w:eastAsia="Arial" w:cs="Calibri"/>
                <w:i/>
                <w:iCs/>
                <w:sz w:val="24"/>
                <w:szCs w:val="24"/>
              </w:rPr>
              <w:t>Practice Email</w:t>
            </w:r>
          </w:p>
        </w:tc>
        <w:tc>
          <w:tcPr>
            <w:tcW w:w="6170" w:type="dxa"/>
            <w:vAlign w:val="center"/>
          </w:tcPr>
          <w:p w14:paraId="40F58218" w14:textId="77777777" w:rsidR="006562C2" w:rsidRPr="00F878D0" w:rsidRDefault="006562C2" w:rsidP="00F86EFD">
            <w:pPr>
              <w:rPr>
                <w:rFonts w:eastAsia="Arial" w:cs="Calibri"/>
                <w:b/>
                <w:bCs/>
                <w:sz w:val="24"/>
                <w:szCs w:val="24"/>
              </w:rPr>
            </w:pPr>
          </w:p>
        </w:tc>
      </w:tr>
      <w:tr w:rsidR="006562C2" w:rsidRPr="00F878D0" w14:paraId="48758153" w14:textId="77777777" w:rsidTr="00CD6AB4">
        <w:trPr>
          <w:trHeight w:val="360"/>
        </w:trPr>
        <w:tc>
          <w:tcPr>
            <w:tcW w:w="3900" w:type="dxa"/>
            <w:vAlign w:val="center"/>
          </w:tcPr>
          <w:p w14:paraId="1E0D1AEC" w14:textId="77777777" w:rsidR="006562C2" w:rsidRPr="00F878D0" w:rsidRDefault="006562C2" w:rsidP="00F86EFD">
            <w:pPr>
              <w:rPr>
                <w:rFonts w:eastAsia="Arial" w:cs="Calibri"/>
                <w:i/>
                <w:iCs/>
                <w:sz w:val="24"/>
                <w:szCs w:val="24"/>
              </w:rPr>
            </w:pPr>
            <w:r w:rsidRPr="00F878D0">
              <w:rPr>
                <w:rFonts w:eastAsia="Arial" w:cs="Calibri"/>
                <w:i/>
                <w:iCs/>
                <w:sz w:val="24"/>
                <w:szCs w:val="24"/>
              </w:rPr>
              <w:t>Proposed Tier Designation (1, 2, or 3)</w:t>
            </w:r>
          </w:p>
        </w:tc>
        <w:tc>
          <w:tcPr>
            <w:tcW w:w="6170" w:type="dxa"/>
            <w:vAlign w:val="center"/>
          </w:tcPr>
          <w:p w14:paraId="77CE829C" w14:textId="77777777" w:rsidR="006562C2" w:rsidRPr="00F878D0" w:rsidRDefault="006562C2" w:rsidP="00F86EFD">
            <w:pPr>
              <w:rPr>
                <w:rFonts w:eastAsia="Arial" w:cs="Calibri"/>
                <w:b/>
                <w:bCs/>
                <w:sz w:val="24"/>
                <w:szCs w:val="24"/>
              </w:rPr>
            </w:pPr>
          </w:p>
        </w:tc>
      </w:tr>
    </w:tbl>
    <w:p w14:paraId="5EEF214C" w14:textId="77777777" w:rsidR="006562C2" w:rsidRPr="00F878D0" w:rsidRDefault="006562C2" w:rsidP="00F86EFD">
      <w:pPr>
        <w:tabs>
          <w:tab w:val="num" w:pos="720"/>
        </w:tabs>
        <w:ind w:right="1600"/>
        <w:rPr>
          <w:rFonts w:cs="Calibri"/>
          <w:sz w:val="24"/>
          <w:szCs w:val="24"/>
        </w:rPr>
      </w:pPr>
    </w:p>
    <w:p w14:paraId="3AF674BF" w14:textId="77777777" w:rsidR="00F86EFD" w:rsidRDefault="00F86EFD">
      <w:pPr>
        <w:rPr>
          <w:rFonts w:asciiTheme="majorHAnsi" w:eastAsiaTheme="majorEastAsia" w:hAnsiTheme="majorHAnsi" w:cstheme="majorBidi"/>
          <w:color w:val="000000" w:themeColor="text1"/>
          <w:sz w:val="26"/>
          <w:szCs w:val="26"/>
        </w:rPr>
      </w:pPr>
      <w:bookmarkStart w:id="1" w:name="_Hlk69217008"/>
      <w:r>
        <w:rPr>
          <w:color w:val="000000" w:themeColor="text1"/>
        </w:rPr>
        <w:br w:type="page"/>
      </w:r>
    </w:p>
    <w:p w14:paraId="738E8717" w14:textId="3519D468" w:rsidR="002F0DA2" w:rsidRPr="00F878D0" w:rsidRDefault="006562C2" w:rsidP="00F86EFD">
      <w:pPr>
        <w:pStyle w:val="Heading2"/>
        <w:rPr>
          <w:color w:val="000000" w:themeColor="text1"/>
        </w:rPr>
      </w:pPr>
      <w:r w:rsidRPr="00F878D0">
        <w:rPr>
          <w:color w:val="000000" w:themeColor="text1"/>
        </w:rPr>
        <w:lastRenderedPageBreak/>
        <w:t>SECTION III: Practice Attestation</w:t>
      </w:r>
    </w:p>
    <w:p w14:paraId="7612F198" w14:textId="1926F0A8" w:rsidR="006D583D" w:rsidRPr="00F878D0" w:rsidRDefault="48EFFB7E" w:rsidP="00DD3DC1">
      <w:pPr>
        <w:pStyle w:val="ListParagraph"/>
        <w:numPr>
          <w:ilvl w:val="0"/>
          <w:numId w:val="8"/>
        </w:numPr>
        <w:spacing w:before="120" w:after="240"/>
        <w:rPr>
          <w:rFonts w:eastAsia="Arial" w:cs="Calibri"/>
          <w:sz w:val="24"/>
          <w:szCs w:val="24"/>
        </w:rPr>
      </w:pPr>
      <w:r w:rsidRPr="36AF73CC">
        <w:rPr>
          <w:rFonts w:eastAsia="Arial" w:cs="Calibri"/>
          <w:sz w:val="24"/>
          <w:szCs w:val="24"/>
        </w:rPr>
        <w:t>The practice substantially serves</w:t>
      </w:r>
      <w:r w:rsidR="158EBCB5" w:rsidRPr="36AF73CC">
        <w:rPr>
          <w:rFonts w:eastAsia="Arial" w:cs="Calibri"/>
          <w:sz w:val="24"/>
          <w:szCs w:val="24"/>
        </w:rPr>
        <w:t xml:space="preserve"> (check one or both)</w:t>
      </w:r>
      <w:r w:rsidRPr="36AF73CC">
        <w:rPr>
          <w:rFonts w:eastAsia="Arial" w:cs="Calibri"/>
          <w:sz w:val="24"/>
          <w:szCs w:val="24"/>
        </w:rPr>
        <w:t>:</w:t>
      </w:r>
    </w:p>
    <w:p w14:paraId="2BAD10BE" w14:textId="1B07EA0D" w:rsidR="006D583D" w:rsidRPr="00F878D0" w:rsidRDefault="00AE681B" w:rsidP="00DD3DC1">
      <w:pPr>
        <w:numPr>
          <w:ilvl w:val="0"/>
          <w:numId w:val="9"/>
        </w:numPr>
        <w:spacing w:before="120" w:after="120"/>
        <w:ind w:left="990" w:right="1600"/>
        <w:rPr>
          <w:rFonts w:eastAsiaTheme="minorEastAsia" w:cs="Calibri"/>
          <w:sz w:val="24"/>
          <w:szCs w:val="24"/>
        </w:rPr>
      </w:pPr>
      <w:bookmarkStart w:id="2" w:name="_Hlk100589491"/>
      <w:r w:rsidRPr="00AE681B">
        <w:rPr>
          <w:rFonts w:eastAsia="Times New Roman" w:cs="Calibri"/>
          <w:sz w:val="24"/>
          <w:szCs w:val="24"/>
        </w:rPr>
        <w:t>Enrollees ages 21-65 (i.e., Family Medicine or Adult)</w:t>
      </w:r>
      <w:bookmarkEnd w:id="2"/>
    </w:p>
    <w:p w14:paraId="606C1EC9" w14:textId="4654F59E" w:rsidR="006D583D" w:rsidRPr="00F878D0" w:rsidRDefault="00AE681B" w:rsidP="00F86EFD">
      <w:pPr>
        <w:numPr>
          <w:ilvl w:val="0"/>
          <w:numId w:val="9"/>
        </w:numPr>
        <w:spacing w:before="120" w:after="240"/>
        <w:ind w:left="990" w:right="1600"/>
        <w:rPr>
          <w:rFonts w:eastAsiaTheme="minorEastAsia" w:cs="Calibri"/>
          <w:sz w:val="24"/>
          <w:szCs w:val="24"/>
        </w:rPr>
      </w:pPr>
      <w:bookmarkStart w:id="3" w:name="_Hlk100589501"/>
      <w:r w:rsidRPr="00AE681B">
        <w:rPr>
          <w:rFonts w:eastAsia="Times New Roman" w:cs="Calibri"/>
          <w:sz w:val="24"/>
          <w:szCs w:val="24"/>
        </w:rPr>
        <w:t>Enrollees ages 0-21 (i.e., Family Medicine or Pediatric)</w:t>
      </w:r>
      <w:bookmarkEnd w:id="3"/>
    </w:p>
    <w:p w14:paraId="4D5C3282" w14:textId="5481C5F2" w:rsidR="002F0DA2" w:rsidRPr="00F878D0" w:rsidRDefault="006D583D" w:rsidP="00F86EFD">
      <w:pPr>
        <w:pStyle w:val="ListParagraph"/>
        <w:numPr>
          <w:ilvl w:val="0"/>
          <w:numId w:val="8"/>
        </w:numPr>
        <w:spacing w:before="120" w:after="240"/>
        <w:rPr>
          <w:rFonts w:eastAsia="Arial" w:cs="Calibri"/>
          <w:sz w:val="24"/>
          <w:szCs w:val="24"/>
        </w:rPr>
      </w:pPr>
      <w:r w:rsidRPr="00F878D0">
        <w:rPr>
          <w:rFonts w:eastAsia="Arial" w:cs="Calibri"/>
          <w:sz w:val="24"/>
          <w:szCs w:val="24"/>
        </w:rPr>
        <w:t xml:space="preserve">The </w:t>
      </w:r>
      <w:r w:rsidR="006562C2" w:rsidRPr="00F878D0">
        <w:rPr>
          <w:rFonts w:eastAsia="Arial" w:cs="Calibri"/>
          <w:sz w:val="24"/>
          <w:szCs w:val="24"/>
        </w:rPr>
        <w:t>p</w:t>
      </w:r>
      <w:r w:rsidR="002F0DA2" w:rsidRPr="00F878D0">
        <w:rPr>
          <w:rFonts w:eastAsia="Arial" w:cs="Calibri"/>
          <w:sz w:val="24"/>
          <w:szCs w:val="24"/>
        </w:rPr>
        <w:t xml:space="preserve">ractice </w:t>
      </w:r>
      <w:r w:rsidRPr="00F878D0">
        <w:rPr>
          <w:rFonts w:eastAsia="Arial" w:cs="Calibri"/>
          <w:sz w:val="24"/>
          <w:szCs w:val="24"/>
        </w:rPr>
        <w:t xml:space="preserve">meets all criteria, as specified in Exhibit 2 of this </w:t>
      </w:r>
      <w:r w:rsidR="007C7B31">
        <w:rPr>
          <w:rFonts w:eastAsia="Arial" w:cs="Calibri"/>
          <w:sz w:val="24"/>
          <w:szCs w:val="24"/>
        </w:rPr>
        <w:t>A</w:t>
      </w:r>
      <w:r w:rsidRPr="00F878D0">
        <w:rPr>
          <w:rFonts w:eastAsia="Arial" w:cs="Calibri"/>
          <w:sz w:val="24"/>
          <w:szCs w:val="24"/>
        </w:rPr>
        <w:t xml:space="preserve">ppendix, </w:t>
      </w:r>
      <w:r w:rsidR="006562C2" w:rsidRPr="00F878D0">
        <w:rPr>
          <w:rFonts w:eastAsia="Arial" w:cs="Calibri"/>
          <w:sz w:val="24"/>
          <w:szCs w:val="24"/>
        </w:rPr>
        <w:t>of</w:t>
      </w:r>
      <w:r w:rsidR="002F0DA2" w:rsidRPr="00F878D0">
        <w:rPr>
          <w:rFonts w:eastAsia="Arial" w:cs="Calibri"/>
          <w:sz w:val="24"/>
          <w:szCs w:val="24"/>
        </w:rPr>
        <w:t>:</w:t>
      </w:r>
    </w:p>
    <w:p w14:paraId="2A7ACC97" w14:textId="32DFD7FD" w:rsidR="002F0DA2" w:rsidRPr="00F878D0" w:rsidRDefault="002F0DA2" w:rsidP="00DD3DC1">
      <w:pPr>
        <w:numPr>
          <w:ilvl w:val="0"/>
          <w:numId w:val="2"/>
        </w:numPr>
        <w:tabs>
          <w:tab w:val="num" w:pos="720"/>
        </w:tabs>
        <w:spacing w:before="120" w:after="120"/>
        <w:ind w:right="1600"/>
        <w:rPr>
          <w:rFonts w:eastAsiaTheme="minorEastAsia" w:cs="Calibri"/>
          <w:sz w:val="24"/>
          <w:szCs w:val="24"/>
        </w:rPr>
      </w:pPr>
      <w:r w:rsidRPr="00F878D0">
        <w:rPr>
          <w:rFonts w:eastAsia="Times New Roman" w:cs="Calibri"/>
          <w:sz w:val="24"/>
          <w:szCs w:val="24"/>
        </w:rPr>
        <w:t>Tier 1</w:t>
      </w:r>
    </w:p>
    <w:p w14:paraId="44078490" w14:textId="35EF118C" w:rsidR="002F0DA2" w:rsidRPr="00F878D0" w:rsidRDefault="002F0DA2" w:rsidP="00DD3DC1">
      <w:pPr>
        <w:numPr>
          <w:ilvl w:val="0"/>
          <w:numId w:val="2"/>
        </w:numPr>
        <w:tabs>
          <w:tab w:val="num" w:pos="720"/>
        </w:tabs>
        <w:spacing w:before="120" w:after="120"/>
        <w:ind w:right="1600"/>
        <w:rPr>
          <w:rFonts w:eastAsiaTheme="minorEastAsia" w:cs="Calibri"/>
          <w:sz w:val="24"/>
          <w:szCs w:val="24"/>
        </w:rPr>
      </w:pPr>
      <w:r w:rsidRPr="00F878D0">
        <w:rPr>
          <w:rFonts w:eastAsia="Times New Roman" w:cs="Calibri"/>
          <w:sz w:val="24"/>
          <w:szCs w:val="24"/>
        </w:rPr>
        <w:t>Tier 2</w:t>
      </w:r>
    </w:p>
    <w:p w14:paraId="2F8101C6" w14:textId="107C47EC" w:rsidR="002F0DA2" w:rsidRPr="00F878D0" w:rsidRDefault="002F0DA2" w:rsidP="00F86EFD">
      <w:pPr>
        <w:numPr>
          <w:ilvl w:val="0"/>
          <w:numId w:val="2"/>
        </w:numPr>
        <w:tabs>
          <w:tab w:val="num" w:pos="720"/>
        </w:tabs>
        <w:spacing w:before="120" w:after="240"/>
        <w:ind w:right="1600"/>
        <w:rPr>
          <w:rFonts w:eastAsiaTheme="minorEastAsia" w:cs="Calibri"/>
          <w:sz w:val="24"/>
          <w:szCs w:val="24"/>
        </w:rPr>
      </w:pPr>
      <w:r w:rsidRPr="00F878D0">
        <w:rPr>
          <w:rFonts w:eastAsia="Times New Roman" w:cs="Calibri"/>
          <w:sz w:val="24"/>
          <w:szCs w:val="24"/>
        </w:rPr>
        <w:t>Tier 3</w:t>
      </w:r>
    </w:p>
    <w:p w14:paraId="40ED901E" w14:textId="3D5CA05E" w:rsidR="624C81ED" w:rsidRPr="00F878D0" w:rsidRDefault="006562C2" w:rsidP="00F86EFD">
      <w:pPr>
        <w:pStyle w:val="ListParagraph"/>
        <w:numPr>
          <w:ilvl w:val="0"/>
          <w:numId w:val="8"/>
        </w:numPr>
        <w:spacing w:before="120" w:after="240"/>
        <w:rPr>
          <w:rFonts w:eastAsiaTheme="minorEastAsia" w:cs="Calibri"/>
          <w:sz w:val="24"/>
          <w:szCs w:val="24"/>
        </w:rPr>
      </w:pPr>
      <w:r w:rsidRPr="00F878D0">
        <w:rPr>
          <w:rFonts w:eastAsia="Times New Roman" w:cs="Calibri"/>
          <w:sz w:val="24"/>
          <w:szCs w:val="24"/>
        </w:rPr>
        <w:t>The practice</w:t>
      </w:r>
      <w:r w:rsidR="624C81ED" w:rsidRPr="00F878D0">
        <w:rPr>
          <w:rFonts w:eastAsia="Times New Roman" w:cs="Calibri"/>
          <w:sz w:val="24"/>
          <w:szCs w:val="24"/>
        </w:rPr>
        <w:t xml:space="preserve"> </w:t>
      </w:r>
      <w:r w:rsidRPr="00F878D0">
        <w:rPr>
          <w:rFonts w:eastAsia="Times New Roman" w:cs="Calibri"/>
          <w:sz w:val="24"/>
          <w:szCs w:val="24"/>
        </w:rPr>
        <w:t xml:space="preserve">agrees </w:t>
      </w:r>
      <w:r w:rsidR="624C81ED" w:rsidRPr="00F878D0">
        <w:rPr>
          <w:rFonts w:eastAsia="Times New Roman" w:cs="Calibri"/>
          <w:sz w:val="24"/>
          <w:szCs w:val="24"/>
        </w:rPr>
        <w:t xml:space="preserve">to participate in the MassHealth ACO Program as </w:t>
      </w:r>
      <w:r w:rsidR="00CD47AE" w:rsidRPr="00F878D0">
        <w:rPr>
          <w:rFonts w:eastAsia="Times New Roman" w:cs="Calibri"/>
          <w:sz w:val="24"/>
          <w:szCs w:val="24"/>
        </w:rPr>
        <w:t>a</w:t>
      </w:r>
      <w:r w:rsidR="001371E9" w:rsidRPr="001371E9">
        <w:rPr>
          <w:rFonts w:eastAsia="Times New Roman" w:cs="Calibri"/>
          <w:sz w:val="24"/>
          <w:szCs w:val="24"/>
        </w:rPr>
        <w:t xml:space="preserve"> Network PCP (ACPP) or Participating PCP (PCACO)</w:t>
      </w:r>
      <w:r w:rsidRPr="00F878D0">
        <w:rPr>
          <w:rFonts w:eastAsia="Times New Roman" w:cs="Calibri"/>
          <w:sz w:val="24"/>
          <w:szCs w:val="24"/>
        </w:rPr>
        <w:t xml:space="preserve"> </w:t>
      </w:r>
      <w:r w:rsidR="624C81ED" w:rsidRPr="00F878D0">
        <w:rPr>
          <w:rFonts w:eastAsia="Times New Roman" w:cs="Calibri"/>
          <w:i/>
          <w:iCs/>
          <w:sz w:val="24"/>
          <w:szCs w:val="24"/>
        </w:rPr>
        <w:t xml:space="preserve">exclusively contracted </w:t>
      </w:r>
      <w:r w:rsidR="624C81ED" w:rsidRPr="00F878D0">
        <w:rPr>
          <w:rFonts w:eastAsia="Times New Roman" w:cs="Calibri"/>
          <w:sz w:val="24"/>
          <w:szCs w:val="24"/>
        </w:rPr>
        <w:t xml:space="preserve">with the under-signed </w:t>
      </w:r>
      <w:r w:rsidRPr="00F878D0">
        <w:rPr>
          <w:rFonts w:eastAsia="Times New Roman" w:cs="Calibri"/>
          <w:sz w:val="24"/>
          <w:szCs w:val="24"/>
        </w:rPr>
        <w:t>Contractor</w:t>
      </w:r>
      <w:r w:rsidR="624C81ED" w:rsidRPr="00F878D0">
        <w:rPr>
          <w:rFonts w:eastAsia="Times New Roman" w:cs="Calibri"/>
          <w:sz w:val="24"/>
          <w:szCs w:val="24"/>
        </w:rPr>
        <w:t xml:space="preserve">. </w:t>
      </w:r>
      <w:r w:rsidRPr="00F878D0">
        <w:rPr>
          <w:rFonts w:eastAsia="Times New Roman" w:cs="Calibri"/>
          <w:sz w:val="24"/>
          <w:szCs w:val="24"/>
        </w:rPr>
        <w:t xml:space="preserve">  </w:t>
      </w:r>
    </w:p>
    <w:p w14:paraId="3F8CC764" w14:textId="25811649" w:rsidR="006562C2" w:rsidRPr="00F878D0" w:rsidRDefault="006562C2" w:rsidP="00F86EFD">
      <w:pPr>
        <w:numPr>
          <w:ilvl w:val="0"/>
          <w:numId w:val="10"/>
        </w:numPr>
        <w:spacing w:before="120" w:after="240"/>
        <w:ind w:left="990" w:right="1600"/>
        <w:rPr>
          <w:rFonts w:eastAsiaTheme="minorEastAsia" w:cs="Calibri"/>
          <w:sz w:val="24"/>
          <w:szCs w:val="24"/>
        </w:rPr>
      </w:pPr>
      <w:r w:rsidRPr="00F878D0">
        <w:rPr>
          <w:rFonts w:eastAsia="Times New Roman" w:cs="Calibri"/>
          <w:sz w:val="24"/>
          <w:szCs w:val="24"/>
        </w:rPr>
        <w:t>Check here to agree</w:t>
      </w:r>
    </w:p>
    <w:p w14:paraId="11A684C4" w14:textId="77777777" w:rsidR="00B23DFA" w:rsidRPr="00F878D0" w:rsidRDefault="00B23DFA" w:rsidP="00F86EFD">
      <w:pPr>
        <w:spacing w:before="120" w:after="240"/>
        <w:ind w:left="280" w:right="260"/>
        <w:rPr>
          <w:rFonts w:eastAsia="Times New Roman" w:cs="Calibri"/>
          <w:sz w:val="24"/>
          <w:szCs w:val="24"/>
        </w:rPr>
      </w:pPr>
    </w:p>
    <w:p w14:paraId="3C400EB2" w14:textId="69527197" w:rsidR="00B23DFA" w:rsidRDefault="00B23DFA" w:rsidP="00F86EFD">
      <w:pPr>
        <w:spacing w:before="120" w:after="240"/>
        <w:ind w:left="280" w:right="260"/>
        <w:rPr>
          <w:rFonts w:eastAsia="Times New Roman" w:cs="Calibri"/>
          <w:sz w:val="24"/>
          <w:szCs w:val="24"/>
        </w:rPr>
      </w:pPr>
      <w:r w:rsidRPr="00F878D0">
        <w:rPr>
          <w:rFonts w:eastAsia="Times New Roman" w:cs="Calibri"/>
          <w:sz w:val="24"/>
          <w:szCs w:val="24"/>
        </w:rPr>
        <w:t>I certify under the pains and penalties of perjury that the information on this form and any attached statement that I have provided has been reviewed and signed by me, and is true, accurate, and complete, to the best of my knowledge. I understand that I may be subject to civil penalties or criminal prosecution for any falsification, omission, or concealment of any material fact contained herein.</w:t>
      </w:r>
    </w:p>
    <w:p w14:paraId="6498606A" w14:textId="77777777" w:rsidR="00901441" w:rsidRPr="00F878D0" w:rsidRDefault="00901441" w:rsidP="00F86EFD">
      <w:pPr>
        <w:ind w:left="280" w:right="260"/>
        <w:rPr>
          <w:rFonts w:eastAsia="Times New Roman" w:cs="Calibri"/>
          <w:sz w:val="24"/>
          <w:szCs w:val="24"/>
        </w:rPr>
      </w:pPr>
    </w:p>
    <w:p w14:paraId="0080A50D" w14:textId="662CB1BD" w:rsidR="00B23DFA" w:rsidRPr="00F878D0" w:rsidRDefault="00DD3DC1" w:rsidP="00F86EFD">
      <w:pPr>
        <w:rPr>
          <w:rFonts w:eastAsia="Times New Roman" w:cs="Calibri"/>
          <w:sz w:val="24"/>
          <w:szCs w:val="24"/>
        </w:rPr>
      </w:pPr>
      <w:r>
        <w:rPr>
          <w:rFonts w:eastAsia="Times New Roman" w:cs="Calibri"/>
          <w:sz w:val="24"/>
          <w:szCs w:val="24"/>
        </w:rPr>
        <w:t>____________________________________________________________________________________</w:t>
      </w:r>
    </w:p>
    <w:p w14:paraId="12F4D2B3" w14:textId="6B4D693A" w:rsidR="00B23DFA" w:rsidRPr="00901441" w:rsidRDefault="00B23DFA" w:rsidP="00F86EFD">
      <w:pPr>
        <w:ind w:left="450"/>
        <w:rPr>
          <w:sz w:val="24"/>
          <w:szCs w:val="24"/>
        </w:rPr>
      </w:pPr>
      <w:r w:rsidRPr="00901441">
        <w:rPr>
          <w:sz w:val="24"/>
          <w:szCs w:val="24"/>
        </w:rPr>
        <w:t xml:space="preserve">Printed legal name of authorized </w:t>
      </w:r>
      <w:r w:rsidR="006562C2" w:rsidRPr="00901441">
        <w:rPr>
          <w:sz w:val="24"/>
          <w:szCs w:val="24"/>
        </w:rPr>
        <w:t>Contractor</w:t>
      </w:r>
      <w:r w:rsidRPr="00901441">
        <w:rPr>
          <w:sz w:val="24"/>
          <w:szCs w:val="24"/>
        </w:rPr>
        <w:t xml:space="preserve"> representative</w:t>
      </w:r>
    </w:p>
    <w:p w14:paraId="2643AF4B" w14:textId="478220CB" w:rsidR="00B23DFA" w:rsidRDefault="00B23DFA" w:rsidP="00F86EFD">
      <w:pPr>
        <w:rPr>
          <w:rFonts w:eastAsia="Times New Roman"/>
        </w:rPr>
      </w:pPr>
    </w:p>
    <w:p w14:paraId="6630E01D" w14:textId="77777777" w:rsidR="00DD3DC1" w:rsidRPr="00F878D0" w:rsidRDefault="00DD3DC1" w:rsidP="00F86EFD">
      <w:pPr>
        <w:rPr>
          <w:rFonts w:eastAsia="Times New Roman"/>
        </w:rPr>
      </w:pPr>
    </w:p>
    <w:p w14:paraId="0DA8A90A" w14:textId="3284D97D" w:rsidR="00B23DFA" w:rsidRPr="00F878D0" w:rsidRDefault="00901441" w:rsidP="00F86EFD">
      <w:pPr>
        <w:rPr>
          <w:rFonts w:eastAsia="Times New Roman" w:cs="Calibri"/>
          <w:sz w:val="24"/>
          <w:szCs w:val="24"/>
        </w:rPr>
      </w:pPr>
      <w:r>
        <w:rPr>
          <w:rFonts w:eastAsia="Times New Roman" w:cs="Calibri"/>
          <w:sz w:val="24"/>
          <w:szCs w:val="24"/>
        </w:rPr>
        <w:t>____________________________________________________________________________________</w:t>
      </w:r>
    </w:p>
    <w:p w14:paraId="61648BAD" w14:textId="61B76839" w:rsidR="00B23DFA" w:rsidRPr="00901441" w:rsidRDefault="006562C2" w:rsidP="00F86EFD">
      <w:pPr>
        <w:tabs>
          <w:tab w:val="left" w:pos="8920"/>
        </w:tabs>
        <w:ind w:left="480"/>
        <w:rPr>
          <w:rFonts w:eastAsia="Times New Roman" w:cs="Calibri"/>
          <w:sz w:val="24"/>
          <w:szCs w:val="24"/>
        </w:rPr>
      </w:pPr>
      <w:r w:rsidRPr="00F878D0">
        <w:rPr>
          <w:rFonts w:eastAsia="Arial" w:cs="Calibri"/>
          <w:sz w:val="24"/>
          <w:szCs w:val="24"/>
        </w:rPr>
        <w:t>Contractor</w:t>
      </w:r>
      <w:r w:rsidR="00B23DFA" w:rsidRPr="00F878D0">
        <w:rPr>
          <w:rFonts w:eastAsia="Arial" w:cs="Calibri"/>
          <w:sz w:val="24"/>
          <w:szCs w:val="24"/>
        </w:rPr>
        <w:t xml:space="preserve"> representative’s signature</w:t>
      </w:r>
      <w:r w:rsidR="00901441">
        <w:rPr>
          <w:rFonts w:eastAsia="Times New Roman" w:cs="Calibri"/>
          <w:sz w:val="24"/>
          <w:szCs w:val="24"/>
        </w:rPr>
        <w:tab/>
      </w:r>
      <w:r w:rsidR="00B23DFA" w:rsidRPr="00F878D0">
        <w:rPr>
          <w:rFonts w:eastAsia="Arial" w:cs="Calibri"/>
          <w:sz w:val="24"/>
          <w:szCs w:val="24"/>
        </w:rPr>
        <w:t>Date</w:t>
      </w:r>
    </w:p>
    <w:p w14:paraId="694F5B30" w14:textId="77777777" w:rsidR="00B23DFA" w:rsidRPr="00F878D0" w:rsidRDefault="00B23DFA" w:rsidP="00DD3DC1">
      <w:pPr>
        <w:tabs>
          <w:tab w:val="left" w:pos="8920"/>
        </w:tabs>
        <w:rPr>
          <w:rFonts w:eastAsia="Arial" w:cs="Calibri"/>
          <w:sz w:val="24"/>
          <w:szCs w:val="24"/>
        </w:rPr>
      </w:pPr>
    </w:p>
    <w:p w14:paraId="35C9023C" w14:textId="00FB051A" w:rsidR="00B23DFA" w:rsidRDefault="00B23DFA" w:rsidP="00F86EFD">
      <w:pPr>
        <w:rPr>
          <w:rFonts w:eastAsia="Times New Roman" w:cs="Calibri"/>
          <w:sz w:val="24"/>
          <w:szCs w:val="24"/>
        </w:rPr>
      </w:pPr>
    </w:p>
    <w:p w14:paraId="38FF5FBB" w14:textId="77777777" w:rsidR="00DD3DC1" w:rsidRPr="00F878D0" w:rsidRDefault="00DD3DC1" w:rsidP="00F86EFD">
      <w:pPr>
        <w:rPr>
          <w:rFonts w:eastAsia="Times New Roman" w:cs="Calibri"/>
          <w:sz w:val="24"/>
          <w:szCs w:val="24"/>
        </w:rPr>
      </w:pPr>
    </w:p>
    <w:p w14:paraId="7B677649" w14:textId="441571E7" w:rsidR="00B23DFA" w:rsidRPr="00F878D0" w:rsidRDefault="00B23DFA" w:rsidP="00F86EFD">
      <w:pPr>
        <w:rPr>
          <w:rFonts w:eastAsia="Times New Roman" w:cs="Calibri"/>
          <w:sz w:val="24"/>
          <w:szCs w:val="24"/>
        </w:rPr>
      </w:pPr>
      <w:r w:rsidRPr="00F878D0">
        <w:rPr>
          <w:rFonts w:eastAsia="Times New Roman" w:cs="Calibri"/>
          <w:sz w:val="24"/>
          <w:szCs w:val="24"/>
        </w:rPr>
        <w:t>____________________________________________________________________________________</w:t>
      </w:r>
    </w:p>
    <w:p w14:paraId="4B31BB17" w14:textId="77777777" w:rsidR="00B23DFA" w:rsidRPr="00F878D0" w:rsidRDefault="00B23DFA" w:rsidP="00F86EFD">
      <w:pPr>
        <w:ind w:left="475"/>
        <w:contextualSpacing/>
        <w:rPr>
          <w:rFonts w:eastAsia="Arial" w:cs="Calibri"/>
          <w:sz w:val="24"/>
          <w:szCs w:val="24"/>
        </w:rPr>
      </w:pPr>
      <w:r w:rsidRPr="00F878D0">
        <w:rPr>
          <w:rFonts w:eastAsia="Arial" w:cs="Calibri"/>
          <w:sz w:val="24"/>
          <w:szCs w:val="24"/>
        </w:rPr>
        <w:t>Printed legal name of Practice representative</w:t>
      </w:r>
    </w:p>
    <w:p w14:paraId="4DE342D6" w14:textId="3030DEB8" w:rsidR="00B23DFA" w:rsidRDefault="00B23DFA" w:rsidP="00F86EFD">
      <w:pPr>
        <w:contextualSpacing/>
        <w:rPr>
          <w:rFonts w:eastAsia="Times New Roman" w:cs="Calibri"/>
          <w:sz w:val="24"/>
          <w:szCs w:val="24"/>
        </w:rPr>
      </w:pPr>
    </w:p>
    <w:p w14:paraId="5DDCF6F5" w14:textId="77777777" w:rsidR="00DD3DC1" w:rsidRPr="00F878D0" w:rsidRDefault="00DD3DC1" w:rsidP="00F86EFD">
      <w:pPr>
        <w:contextualSpacing/>
        <w:rPr>
          <w:rFonts w:eastAsia="Times New Roman" w:cs="Calibri"/>
          <w:sz w:val="24"/>
          <w:szCs w:val="24"/>
        </w:rPr>
      </w:pPr>
    </w:p>
    <w:p w14:paraId="544E21FA" w14:textId="34D76D1F" w:rsidR="00B23DFA" w:rsidRPr="00F878D0" w:rsidRDefault="00901441" w:rsidP="00F86EFD">
      <w:pPr>
        <w:contextualSpacing/>
        <w:rPr>
          <w:rFonts w:eastAsia="Times New Roman" w:cs="Calibri"/>
          <w:sz w:val="24"/>
          <w:szCs w:val="24"/>
        </w:rPr>
      </w:pPr>
      <w:r>
        <w:rPr>
          <w:rFonts w:eastAsia="Times New Roman" w:cs="Calibri"/>
          <w:sz w:val="24"/>
          <w:szCs w:val="24"/>
        </w:rPr>
        <w:t>____________________________________________________________________________________</w:t>
      </w:r>
    </w:p>
    <w:bookmarkEnd w:id="1"/>
    <w:p w14:paraId="76FE9027" w14:textId="43886D91" w:rsidR="00B23DFA" w:rsidRPr="00F878D0" w:rsidRDefault="00B23DFA" w:rsidP="00F86EFD">
      <w:pPr>
        <w:tabs>
          <w:tab w:val="left" w:pos="8920"/>
        </w:tabs>
        <w:ind w:left="450"/>
        <w:contextualSpacing/>
        <w:rPr>
          <w:rFonts w:eastAsia="Arial" w:cs="Calibri"/>
          <w:sz w:val="24"/>
          <w:szCs w:val="24"/>
        </w:rPr>
      </w:pPr>
      <w:r w:rsidRPr="00F878D0">
        <w:rPr>
          <w:rFonts w:eastAsia="Arial" w:cs="Calibri"/>
          <w:sz w:val="24"/>
          <w:szCs w:val="24"/>
        </w:rPr>
        <w:t>Practice representative’s signature</w:t>
      </w:r>
      <w:r w:rsidR="00901441">
        <w:rPr>
          <w:rFonts w:eastAsia="Arial" w:cs="Calibri"/>
          <w:sz w:val="24"/>
          <w:szCs w:val="24"/>
        </w:rPr>
        <w:tab/>
      </w:r>
      <w:r w:rsidRPr="00F878D0">
        <w:rPr>
          <w:rFonts w:eastAsia="Arial" w:cs="Calibri"/>
          <w:sz w:val="24"/>
          <w:szCs w:val="24"/>
        </w:rPr>
        <w:t>Date</w:t>
      </w:r>
    </w:p>
    <w:p w14:paraId="603B0B9D" w14:textId="5B48F896" w:rsidR="00B23DFA" w:rsidRPr="00F878D0" w:rsidRDefault="00B23DFA" w:rsidP="00F86EFD">
      <w:pPr>
        <w:rPr>
          <w:rFonts w:cs="Calibri"/>
          <w:sz w:val="24"/>
          <w:szCs w:val="24"/>
        </w:rPr>
      </w:pPr>
    </w:p>
    <w:p w14:paraId="19756750" w14:textId="48093337" w:rsidR="006562C2" w:rsidRPr="00F878D0" w:rsidRDefault="006562C2" w:rsidP="00F86EFD">
      <w:pPr>
        <w:rPr>
          <w:rFonts w:cs="Calibri"/>
          <w:sz w:val="24"/>
          <w:szCs w:val="24"/>
        </w:rPr>
      </w:pPr>
    </w:p>
    <w:p w14:paraId="23FEA5F1" w14:textId="0D6EAD79" w:rsidR="007175C6" w:rsidRPr="00F878D0" w:rsidRDefault="007175C6" w:rsidP="00F86EFD">
      <w:pPr>
        <w:rPr>
          <w:rFonts w:cs="Calibri"/>
          <w:sz w:val="24"/>
          <w:szCs w:val="24"/>
        </w:rPr>
      </w:pPr>
      <w:r w:rsidRPr="00F878D0">
        <w:rPr>
          <w:rFonts w:cs="Calibri"/>
          <w:sz w:val="24"/>
          <w:szCs w:val="24"/>
        </w:rPr>
        <w:br w:type="page"/>
      </w:r>
    </w:p>
    <w:p w14:paraId="5F25D7A1" w14:textId="3219A898" w:rsidR="007175C6" w:rsidRPr="003F56CC" w:rsidRDefault="007175C6" w:rsidP="00F86EFD">
      <w:pPr>
        <w:rPr>
          <w:b/>
          <w:bCs/>
          <w:sz w:val="24"/>
          <w:szCs w:val="24"/>
        </w:rPr>
      </w:pPr>
      <w:r w:rsidRPr="003F56CC">
        <w:rPr>
          <w:b/>
          <w:bCs/>
          <w:sz w:val="24"/>
          <w:szCs w:val="24"/>
        </w:rPr>
        <w:lastRenderedPageBreak/>
        <w:t>EXHIBIT 2: Practice Tier Designation Attestation</w:t>
      </w:r>
    </w:p>
    <w:p w14:paraId="064DD891" w14:textId="36879D11" w:rsidR="007175C6" w:rsidRPr="00F878D0" w:rsidRDefault="00876C1B" w:rsidP="00F86EFD">
      <w:pPr>
        <w:spacing w:after="120"/>
        <w:rPr>
          <w:rFonts w:eastAsia="Times New Roman"/>
        </w:rPr>
      </w:pPr>
      <w:r>
        <w:rPr>
          <w:rFonts w:eastAsia="Arial" w:cs="Calibri"/>
          <w:b/>
          <w:noProof/>
          <w:sz w:val="24"/>
          <w:szCs w:val="24"/>
        </w:rPr>
        <w:pict w14:anchorId="42F4705E">
          <v:rect id="_x0000_i1027" alt="" style="width:468pt;height:.05pt;mso-width-percent:0;mso-height-percent:0;mso-width-percent:0;mso-height-percent:0" o:hralign="center" o:hrstd="t" o:hr="t" fillcolor="#a0a0a0" stroked="f"/>
        </w:pict>
      </w:r>
    </w:p>
    <w:p w14:paraId="58BEC501" w14:textId="4D26F439" w:rsidR="00F878D0" w:rsidRPr="00392017" w:rsidRDefault="00F878D0" w:rsidP="0057536C">
      <w:pPr>
        <w:pStyle w:val="Heading2"/>
        <w:spacing w:after="240"/>
        <w:rPr>
          <w:color w:val="000000" w:themeColor="text1"/>
        </w:rPr>
      </w:pPr>
      <w:r w:rsidRPr="00392017">
        <w:rPr>
          <w:color w:val="000000" w:themeColor="text1"/>
        </w:rPr>
        <w:t>SECTION I: Tier 1 Practice Service Requirements</w:t>
      </w:r>
    </w:p>
    <w:p w14:paraId="5D776484" w14:textId="45F81857" w:rsidR="00F878D0" w:rsidRPr="000F3D92" w:rsidRDefault="000F3D92" w:rsidP="00BB6C28">
      <w:pPr>
        <w:spacing w:line="259" w:lineRule="auto"/>
        <w:rPr>
          <w:rFonts w:cs="Calibri"/>
          <w:sz w:val="24"/>
          <w:szCs w:val="24"/>
        </w:rPr>
      </w:pPr>
      <w:r w:rsidRPr="36AF73CC">
        <w:rPr>
          <w:rFonts w:cs="Calibri"/>
          <w:sz w:val="24"/>
          <w:szCs w:val="24"/>
        </w:rPr>
        <w:t>Requirements to achieve a Tier Designation of Tier 1</w:t>
      </w:r>
      <w:r w:rsidR="00F878D0" w:rsidRPr="36AF73CC">
        <w:rPr>
          <w:rFonts w:cs="Calibri"/>
          <w:sz w:val="24"/>
          <w:szCs w:val="24"/>
        </w:rPr>
        <w:t>.</w:t>
      </w:r>
      <w:r w:rsidRPr="36AF73CC">
        <w:rPr>
          <w:rFonts w:cs="Calibri"/>
          <w:sz w:val="24"/>
          <w:szCs w:val="24"/>
        </w:rPr>
        <w:t xml:space="preserve"> Practices shall meet </w:t>
      </w:r>
      <w:r w:rsidRPr="36AF73CC">
        <w:rPr>
          <w:rFonts w:cs="Calibri"/>
          <w:b/>
          <w:bCs/>
          <w:i/>
          <w:iCs/>
          <w:sz w:val="24"/>
          <w:szCs w:val="24"/>
        </w:rPr>
        <w:t xml:space="preserve">all </w:t>
      </w:r>
      <w:r w:rsidRPr="36AF73CC">
        <w:rPr>
          <w:rFonts w:cs="Calibri"/>
          <w:sz w:val="24"/>
          <w:szCs w:val="24"/>
        </w:rPr>
        <w:t>Tier 1 requirements to achieve this Tier Designation.</w:t>
      </w:r>
      <w:r w:rsidR="0619828B" w:rsidRPr="36AF73CC">
        <w:rPr>
          <w:rFonts w:cs="Calibri"/>
          <w:sz w:val="24"/>
          <w:szCs w:val="24"/>
        </w:rPr>
        <w:t xml:space="preserve"> </w:t>
      </w:r>
      <w:r w:rsidR="54AAEFF7" w:rsidRPr="36AF73CC">
        <w:rPr>
          <w:rFonts w:cs="Calibri"/>
          <w:sz w:val="24"/>
          <w:szCs w:val="24"/>
        </w:rPr>
        <w:t>Some requirements must be accessible to Enrollees on-site if the Enrollee so chooses, without leaving the practice building, and some requirements may be met exclusively via a central or virtual resource, including being provided by the ACO, as indicated in each requirement description.</w:t>
      </w:r>
    </w:p>
    <w:p w14:paraId="71A9F49D" w14:textId="69B7B1C9" w:rsidR="00695115" w:rsidRPr="00392017" w:rsidRDefault="00F878D0" w:rsidP="00F86EFD">
      <w:pPr>
        <w:pStyle w:val="ListParagraph"/>
        <w:numPr>
          <w:ilvl w:val="0"/>
          <w:numId w:val="20"/>
        </w:numPr>
        <w:spacing w:before="120" w:after="120"/>
        <w:rPr>
          <w:b/>
          <w:bCs/>
          <w:sz w:val="24"/>
          <w:szCs w:val="24"/>
        </w:rPr>
      </w:pPr>
      <w:r w:rsidRPr="00392017">
        <w:rPr>
          <w:b/>
          <w:bCs/>
          <w:sz w:val="24"/>
          <w:szCs w:val="24"/>
        </w:rPr>
        <w:t xml:space="preserve">Care Delivery </w:t>
      </w:r>
      <w:r w:rsidR="00FA450F" w:rsidRPr="00392017">
        <w:rPr>
          <w:b/>
          <w:bCs/>
          <w:sz w:val="24"/>
          <w:szCs w:val="24"/>
        </w:rPr>
        <w:t>Requirements</w:t>
      </w:r>
    </w:p>
    <w:p w14:paraId="51E67C17" w14:textId="04676B0A" w:rsidR="00F878D0" w:rsidRPr="007C7B31" w:rsidRDefault="00695115" w:rsidP="00F86EFD">
      <w:pPr>
        <w:spacing w:before="120" w:after="120"/>
        <w:ind w:left="360"/>
        <w:rPr>
          <w:i/>
          <w:sz w:val="24"/>
          <w:szCs w:val="24"/>
        </w:rPr>
      </w:pPr>
      <w:r w:rsidRPr="007C7B31">
        <w:rPr>
          <w:i/>
          <w:sz w:val="24"/>
          <w:szCs w:val="24"/>
        </w:rPr>
        <w:t>Practices shall:</w:t>
      </w:r>
    </w:p>
    <w:p w14:paraId="12334E75" w14:textId="64B766D3" w:rsidR="00F878D0" w:rsidRPr="00F878D0" w:rsidRDefault="64266646" w:rsidP="00DD3DC1">
      <w:pPr>
        <w:numPr>
          <w:ilvl w:val="0"/>
          <w:numId w:val="2"/>
        </w:numPr>
        <w:tabs>
          <w:tab w:val="num" w:pos="720"/>
        </w:tabs>
        <w:spacing w:before="120" w:after="240"/>
        <w:ind w:left="1080"/>
        <w:rPr>
          <w:rFonts w:cs="Calibri"/>
          <w:sz w:val="24"/>
          <w:szCs w:val="24"/>
        </w:rPr>
      </w:pPr>
      <w:r w:rsidRPr="36AF73CC">
        <w:rPr>
          <w:rFonts w:cs="Calibri"/>
          <w:sz w:val="24"/>
          <w:szCs w:val="24"/>
        </w:rPr>
        <w:t>Traditional primary care: provide accessible, comprehensive, longitudinal, person-centered, and coordinated primary care services including evaluation and management of common health issues, disease prevention, and wellness promotion.</w:t>
      </w:r>
      <w:r w:rsidR="354C365F" w:rsidRPr="36AF73CC">
        <w:rPr>
          <w:rFonts w:cs="Calibri"/>
          <w:sz w:val="24"/>
          <w:szCs w:val="24"/>
        </w:rPr>
        <w:t xml:space="preserve"> While practices may offer some traditional primary care virtually via telehealth, Enrollees must be able to access this requirement </w:t>
      </w:r>
      <w:r w:rsidR="6CC8352D" w:rsidRPr="36AF73CC">
        <w:rPr>
          <w:rFonts w:cs="Calibri"/>
          <w:sz w:val="24"/>
          <w:szCs w:val="24"/>
        </w:rPr>
        <w:t>on</w:t>
      </w:r>
      <w:r w:rsidR="388AC79A" w:rsidRPr="36AF73CC">
        <w:rPr>
          <w:rFonts w:cs="Calibri"/>
          <w:sz w:val="24"/>
          <w:szCs w:val="24"/>
        </w:rPr>
        <w:t>-</w:t>
      </w:r>
      <w:r w:rsidR="6CC8352D" w:rsidRPr="36AF73CC">
        <w:rPr>
          <w:rFonts w:cs="Calibri"/>
          <w:sz w:val="24"/>
          <w:szCs w:val="24"/>
        </w:rPr>
        <w:t xml:space="preserve">site. </w:t>
      </w:r>
    </w:p>
    <w:p w14:paraId="4FCDF058" w14:textId="41F3ADE5" w:rsidR="00F878D0" w:rsidRPr="00BB6C28" w:rsidRDefault="000BF0A5" w:rsidP="0389DC50">
      <w:pPr>
        <w:numPr>
          <w:ilvl w:val="0"/>
          <w:numId w:val="2"/>
        </w:numPr>
        <w:tabs>
          <w:tab w:val="num" w:pos="720"/>
        </w:tabs>
        <w:spacing w:before="120" w:after="240"/>
        <w:ind w:left="1080"/>
        <w:rPr>
          <w:rFonts w:asciiTheme="minorHAnsi" w:hAnsiTheme="minorHAnsi"/>
        </w:rPr>
      </w:pPr>
      <w:r w:rsidRPr="0389DC50">
        <w:rPr>
          <w:rFonts w:cs="Calibri"/>
          <w:sz w:val="24"/>
          <w:szCs w:val="24"/>
        </w:rPr>
        <w:t xml:space="preserve">Referral to specialty care: be able to guide and coordinate referrals and request evaluation of a patient by clinicians outside of the primary care practice for specific concerns. Such referrals </w:t>
      </w:r>
      <w:r w:rsidR="5FA6B9AF" w:rsidRPr="0389DC50">
        <w:rPr>
          <w:rFonts w:cs="Calibri"/>
          <w:sz w:val="24"/>
          <w:szCs w:val="24"/>
        </w:rPr>
        <w:t xml:space="preserve">shall </w:t>
      </w:r>
      <w:r w:rsidRPr="0389DC50">
        <w:rPr>
          <w:rFonts w:cs="Calibri"/>
          <w:sz w:val="24"/>
          <w:szCs w:val="24"/>
        </w:rPr>
        <w:t xml:space="preserve">include the primary care practice’s ability to communicate with and receive communications from the specialty practice, with the primary care practice continuing to serve as a central home of health care services for the patient. This </w:t>
      </w:r>
      <w:r w:rsidR="5FA6B9AF" w:rsidRPr="0389DC50">
        <w:rPr>
          <w:rFonts w:cs="Calibri"/>
          <w:sz w:val="24"/>
          <w:szCs w:val="24"/>
        </w:rPr>
        <w:t>includes</w:t>
      </w:r>
      <w:r w:rsidRPr="0389DC50">
        <w:rPr>
          <w:rFonts w:cs="Calibri"/>
          <w:sz w:val="24"/>
          <w:szCs w:val="24"/>
        </w:rPr>
        <w:t xml:space="preserve"> sub-specialty medical</w:t>
      </w:r>
      <w:r w:rsidR="5FA6B9AF" w:rsidRPr="0389DC50">
        <w:rPr>
          <w:rFonts w:cs="Calibri"/>
          <w:sz w:val="24"/>
          <w:szCs w:val="24"/>
        </w:rPr>
        <w:t xml:space="preserve">, </w:t>
      </w:r>
      <w:r w:rsidRPr="0389DC50">
        <w:rPr>
          <w:rFonts w:cs="Calibri"/>
          <w:sz w:val="24"/>
          <w:szCs w:val="24"/>
        </w:rPr>
        <w:t xml:space="preserve">oral health, mental health, and substance use disorder referrals. </w:t>
      </w:r>
    </w:p>
    <w:p w14:paraId="164E0F8D" w14:textId="515B9392" w:rsidR="00F878D0" w:rsidRPr="00F878D0" w:rsidRDefault="000BF0A5" w:rsidP="00DD3DC1">
      <w:pPr>
        <w:numPr>
          <w:ilvl w:val="0"/>
          <w:numId w:val="2"/>
        </w:numPr>
        <w:tabs>
          <w:tab w:val="num" w:pos="720"/>
        </w:tabs>
        <w:spacing w:before="120" w:after="120"/>
        <w:ind w:left="1080"/>
        <w:rPr>
          <w:rFonts w:cs="Calibri"/>
          <w:sz w:val="24"/>
          <w:szCs w:val="24"/>
        </w:rPr>
      </w:pPr>
      <w:r w:rsidRPr="36AF73CC">
        <w:rPr>
          <w:rFonts w:cs="Calibri"/>
          <w:sz w:val="24"/>
          <w:szCs w:val="24"/>
        </w:rPr>
        <w:t>Oral health screening and referral: conduct an annual (every 12 month</w:t>
      </w:r>
      <w:r w:rsidR="5FA6B9AF" w:rsidRPr="36AF73CC">
        <w:rPr>
          <w:rFonts w:cs="Calibri"/>
          <w:sz w:val="24"/>
          <w:szCs w:val="24"/>
        </w:rPr>
        <w:t>s</w:t>
      </w:r>
      <w:r w:rsidRPr="36AF73CC">
        <w:rPr>
          <w:rFonts w:cs="Calibri"/>
          <w:sz w:val="24"/>
          <w:szCs w:val="24"/>
        </w:rPr>
        <w:t>) structured oral health screening for attributed patients. For example, a clinic tool may use the National Health and Nutrition Examination Survey Oral Health Questionnaire (</w:t>
      </w:r>
      <w:hyperlink r:id="rId13">
        <w:r w:rsidRPr="36AF73CC">
          <w:rPr>
            <w:rStyle w:val="Hyperlink"/>
            <w:rFonts w:cs="Calibri"/>
            <w:sz w:val="24"/>
            <w:szCs w:val="24"/>
          </w:rPr>
          <w:t>https://wwwn.cdc.gov/nchs/data/nhanes/2015-2016/questionnaires/OHQ_I.pdf</w:t>
        </w:r>
      </w:hyperlink>
      <w:r w:rsidRPr="36AF73CC">
        <w:rPr>
          <w:rFonts w:cs="Calibri"/>
          <w:sz w:val="24"/>
          <w:szCs w:val="24"/>
        </w:rPr>
        <w:t xml:space="preserve">). An on-site dental exam for attributed patients </w:t>
      </w:r>
      <w:r w:rsidR="5FA6B9AF" w:rsidRPr="36AF73CC">
        <w:rPr>
          <w:rFonts w:cs="Calibri"/>
          <w:sz w:val="24"/>
          <w:szCs w:val="24"/>
        </w:rPr>
        <w:t>shall meet</w:t>
      </w:r>
      <w:r w:rsidRPr="36AF73CC">
        <w:rPr>
          <w:rFonts w:cs="Calibri"/>
          <w:sz w:val="24"/>
          <w:szCs w:val="24"/>
        </w:rPr>
        <w:t xml:space="preserve"> this requirement. An assessment screening </w:t>
      </w:r>
      <w:r w:rsidR="5FA6B9AF" w:rsidRPr="36AF73CC">
        <w:rPr>
          <w:rFonts w:cs="Calibri"/>
          <w:sz w:val="24"/>
          <w:szCs w:val="24"/>
        </w:rPr>
        <w:t xml:space="preserve">shall </w:t>
      </w:r>
      <w:r w:rsidRPr="36AF73CC">
        <w:rPr>
          <w:rFonts w:cs="Calibri"/>
          <w:sz w:val="24"/>
          <w:szCs w:val="24"/>
        </w:rPr>
        <w:t xml:space="preserve">clearly define what constitutes a positive screening result versus a negative result and </w:t>
      </w:r>
      <w:r w:rsidR="5FA6B9AF" w:rsidRPr="36AF73CC">
        <w:rPr>
          <w:rFonts w:cs="Calibri"/>
          <w:sz w:val="24"/>
          <w:szCs w:val="24"/>
        </w:rPr>
        <w:t xml:space="preserve">shall </w:t>
      </w:r>
      <w:r w:rsidRPr="36AF73CC">
        <w:rPr>
          <w:rFonts w:cs="Calibri"/>
          <w:sz w:val="24"/>
          <w:szCs w:val="24"/>
        </w:rPr>
        <w:t xml:space="preserve">assess if the patient currently has access to an oral health provider or a regular and reliable source for oral health needs. </w:t>
      </w:r>
    </w:p>
    <w:p w14:paraId="53EFB10C" w14:textId="53E2C6EB" w:rsidR="00F878D0" w:rsidRPr="00CD6AB4" w:rsidRDefault="00F878D0" w:rsidP="00DD3DC1">
      <w:pPr>
        <w:spacing w:before="120" w:after="240"/>
        <w:ind w:left="1080"/>
        <w:rPr>
          <w:sz w:val="24"/>
        </w:rPr>
      </w:pPr>
      <w:r w:rsidRPr="0389DC50">
        <w:rPr>
          <w:rFonts w:cs="Calibri"/>
          <w:sz w:val="24"/>
          <w:szCs w:val="24"/>
        </w:rPr>
        <w:t xml:space="preserve">Additionally, retain and provide to patients (and/or their parents/caregivers) a list of local and reasonably-accessible oral health providers who are within the MassHealth network for their particular patients (MassHealth providers are available at: </w:t>
      </w:r>
      <w:hyperlink r:id="rId14" w:anchor="/home">
        <w:r w:rsidRPr="0389DC50">
          <w:rPr>
            <w:rStyle w:val="Hyperlink"/>
            <w:rFonts w:cs="Calibri"/>
            <w:sz w:val="24"/>
            <w:szCs w:val="24"/>
          </w:rPr>
          <w:t>https://provider.masshealth-dental.net/MH_Find_a_Provider#/home</w:t>
        </w:r>
      </w:hyperlink>
      <w:r w:rsidRPr="0389DC50">
        <w:rPr>
          <w:rFonts w:cs="Calibri"/>
          <w:sz w:val="24"/>
          <w:szCs w:val="24"/>
        </w:rPr>
        <w:t xml:space="preserve">). This information </w:t>
      </w:r>
      <w:r w:rsidR="000F3D92" w:rsidRPr="0389DC50">
        <w:rPr>
          <w:rFonts w:cs="Calibri"/>
          <w:sz w:val="24"/>
          <w:szCs w:val="24"/>
        </w:rPr>
        <w:t xml:space="preserve">shall </w:t>
      </w:r>
      <w:r w:rsidRPr="0389DC50">
        <w:rPr>
          <w:rFonts w:cs="Calibri"/>
          <w:sz w:val="24"/>
          <w:szCs w:val="24"/>
        </w:rPr>
        <w:t xml:space="preserve">be updated at least annually for any openings/closings or additions/removals of MassHealth coverage of these providers. Such a list </w:t>
      </w:r>
      <w:r w:rsidR="000F3D92" w:rsidRPr="0389DC50">
        <w:rPr>
          <w:rFonts w:cs="Calibri"/>
          <w:sz w:val="24"/>
          <w:szCs w:val="24"/>
        </w:rPr>
        <w:t xml:space="preserve">shall </w:t>
      </w:r>
      <w:r w:rsidRPr="0389DC50">
        <w:rPr>
          <w:rFonts w:cs="Calibri"/>
          <w:sz w:val="24"/>
          <w:szCs w:val="24"/>
        </w:rPr>
        <w:t xml:space="preserve">be provided to patients with a positive oral health screen and those without an oral health provider. Such a list may be adapted from materials provided by MassHealth of practices and providers currently </w:t>
      </w:r>
      <w:r w:rsidRPr="00CD6AB4">
        <w:rPr>
          <w:rFonts w:cs="Calibri"/>
          <w:sz w:val="24"/>
          <w:szCs w:val="24"/>
        </w:rPr>
        <w:t xml:space="preserve">enrolled in the program. </w:t>
      </w:r>
    </w:p>
    <w:p w14:paraId="03BC8046" w14:textId="25050B16" w:rsidR="54AAEFF7" w:rsidRPr="00CD6AB4" w:rsidRDefault="00ED6F4E" w:rsidP="00CD6AB4">
      <w:pPr>
        <w:pStyle w:val="ListParagraph"/>
        <w:spacing w:before="120" w:after="240"/>
        <w:ind w:left="1080"/>
        <w:rPr>
          <w:rFonts w:asciiTheme="minorHAnsi" w:eastAsiaTheme="minorEastAsia" w:hAnsiTheme="minorHAnsi" w:cstheme="minorBidi"/>
        </w:rPr>
      </w:pPr>
      <w:r w:rsidRPr="00CD6AB4">
        <w:rPr>
          <w:rFonts w:cs="Calibri"/>
          <w:sz w:val="24"/>
          <w:szCs w:val="24"/>
        </w:rPr>
        <w:t xml:space="preserve">While practices may offer some oral health screenings and referrals virtually via telehealth, Enrollees must be able to access this requirement </w:t>
      </w:r>
      <w:r w:rsidR="00693BDD" w:rsidRPr="00CD6AB4">
        <w:rPr>
          <w:rFonts w:cs="Calibri"/>
          <w:sz w:val="24"/>
          <w:szCs w:val="24"/>
        </w:rPr>
        <w:t>on</w:t>
      </w:r>
      <w:r w:rsidR="006E72B3" w:rsidRPr="00CD6AB4">
        <w:rPr>
          <w:rFonts w:cs="Calibri"/>
          <w:sz w:val="24"/>
          <w:szCs w:val="24"/>
        </w:rPr>
        <w:t>-</w:t>
      </w:r>
      <w:r w:rsidR="00693BDD" w:rsidRPr="00CD6AB4">
        <w:rPr>
          <w:rFonts w:cs="Calibri"/>
          <w:sz w:val="24"/>
          <w:szCs w:val="24"/>
        </w:rPr>
        <w:t>site.</w:t>
      </w:r>
    </w:p>
    <w:p w14:paraId="1B36F26E" w14:textId="635147E2" w:rsidR="004E6321" w:rsidRPr="004E6321" w:rsidRDefault="004E6321" w:rsidP="004E6321">
      <w:pPr>
        <w:numPr>
          <w:ilvl w:val="0"/>
          <w:numId w:val="2"/>
        </w:numPr>
        <w:tabs>
          <w:tab w:val="num" w:pos="720"/>
        </w:tabs>
        <w:spacing w:before="120" w:after="120"/>
        <w:ind w:left="1080"/>
        <w:rPr>
          <w:rFonts w:cs="Calibri"/>
          <w:sz w:val="24"/>
          <w:szCs w:val="24"/>
        </w:rPr>
      </w:pPr>
      <w:r w:rsidRPr="004E6321">
        <w:rPr>
          <w:rFonts w:cs="Calibri"/>
          <w:sz w:val="24"/>
          <w:szCs w:val="24"/>
        </w:rPr>
        <w:lastRenderedPageBreak/>
        <w:t xml:space="preserve">Behavioral health (BH) and substance use disorder screening: conduct an annual and universal practice-based screening of attributed patients </w:t>
      </w:r>
      <w:r w:rsidRPr="004E6321">
        <w:rPr>
          <w:rFonts w:cs="Calibri"/>
          <w:sz w:val="24"/>
          <w:szCs w:val="24"/>
          <w:u w:val="single"/>
        </w:rPr>
        <w:t>&gt;</w:t>
      </w:r>
      <w:r w:rsidRPr="004E6321">
        <w:rPr>
          <w:rFonts w:cs="Calibri"/>
          <w:sz w:val="24"/>
          <w:szCs w:val="24"/>
        </w:rPr>
        <w:t xml:space="preserve">21 years of age. Such a screen shall at minimum assess for depression, tobacco use, unhealthy alcohol use, other substance use, and preexisting mental health disorders using an age-appropriate, evidence-based, standardized screening tool. When any screening is positive, the practice shall respond with appropriate interventions and/or referrals. </w:t>
      </w:r>
    </w:p>
    <w:p w14:paraId="25FF371C" w14:textId="16F1CE19" w:rsidR="004E6321" w:rsidRDefault="004E6321" w:rsidP="004E6321">
      <w:pPr>
        <w:spacing w:after="120"/>
        <w:ind w:left="1080"/>
        <w:rPr>
          <w:rFonts w:cs="Calibri"/>
          <w:sz w:val="24"/>
          <w:szCs w:val="24"/>
        </w:rPr>
      </w:pPr>
      <w:r w:rsidRPr="0389DC50">
        <w:rPr>
          <w:rFonts w:cs="Calibri"/>
          <w:sz w:val="24"/>
          <w:szCs w:val="24"/>
        </w:rPr>
        <w:t xml:space="preserve">See below under this Section 1, subsection C for screening expectations for any attributed patients younger than 21 years of age per the </w:t>
      </w:r>
      <w:hyperlink r:id="rId15" w:anchor="-appendix-w:-epsdt-services-medical-and-dental-protocols-and-periodicity-schedules-">
        <w:r w:rsidRPr="0389DC50">
          <w:rPr>
            <w:rStyle w:val="Hyperlink"/>
            <w:rFonts w:cs="Calibri"/>
            <w:sz w:val="24"/>
            <w:szCs w:val="24"/>
          </w:rPr>
          <w:t>Early and Periodic Screening, Diagnostic and Treatment (EPSDT) protocol and schedule</w:t>
        </w:r>
      </w:hyperlink>
      <w:r w:rsidRPr="0389DC50">
        <w:rPr>
          <w:rFonts w:cs="Calibri"/>
          <w:sz w:val="24"/>
          <w:szCs w:val="24"/>
        </w:rPr>
        <w:t>.</w:t>
      </w:r>
    </w:p>
    <w:p w14:paraId="5F5C1AA9" w14:textId="7F200E7F" w:rsidR="7B324B5A" w:rsidRDefault="00ED6F4E" w:rsidP="36AF73CC">
      <w:pPr>
        <w:spacing w:after="120"/>
        <w:ind w:left="1080"/>
        <w:rPr>
          <w:rFonts w:cs="Calibri"/>
          <w:sz w:val="24"/>
          <w:szCs w:val="24"/>
        </w:rPr>
      </w:pPr>
      <w:r w:rsidRPr="36AF73CC">
        <w:rPr>
          <w:rFonts w:cs="Calibri"/>
          <w:sz w:val="24"/>
          <w:szCs w:val="24"/>
        </w:rPr>
        <w:t xml:space="preserve">While practices may offer some BH and substance use screening virtually via telehealth, Enrollees must be able to access this requirement </w:t>
      </w:r>
      <w:r w:rsidR="00693BDD" w:rsidRPr="36AF73CC">
        <w:rPr>
          <w:rFonts w:cs="Calibri"/>
          <w:sz w:val="24"/>
          <w:szCs w:val="24"/>
        </w:rPr>
        <w:t>on</w:t>
      </w:r>
      <w:r w:rsidR="006E72B3" w:rsidRPr="36AF73CC">
        <w:rPr>
          <w:rFonts w:cs="Calibri"/>
          <w:sz w:val="24"/>
          <w:szCs w:val="24"/>
        </w:rPr>
        <w:t>-</w:t>
      </w:r>
      <w:r w:rsidR="00693BDD" w:rsidRPr="36AF73CC">
        <w:rPr>
          <w:rFonts w:cs="Calibri"/>
          <w:sz w:val="24"/>
          <w:szCs w:val="24"/>
        </w:rPr>
        <w:t>site.</w:t>
      </w:r>
    </w:p>
    <w:p w14:paraId="5909A215" w14:textId="093BECCF" w:rsidR="00F878D0" w:rsidRPr="004E6321" w:rsidRDefault="00F878D0" w:rsidP="00BB6C28">
      <w:pPr>
        <w:numPr>
          <w:ilvl w:val="0"/>
          <w:numId w:val="2"/>
        </w:numPr>
        <w:tabs>
          <w:tab w:val="num" w:pos="720"/>
        </w:tabs>
        <w:spacing w:before="120" w:after="120"/>
        <w:ind w:left="1080"/>
        <w:rPr>
          <w:rFonts w:cs="Calibri"/>
          <w:sz w:val="24"/>
          <w:szCs w:val="24"/>
        </w:rPr>
      </w:pPr>
      <w:r w:rsidRPr="004E6321">
        <w:rPr>
          <w:rFonts w:cs="Calibri"/>
          <w:sz w:val="24"/>
          <w:szCs w:val="24"/>
        </w:rPr>
        <w:t xml:space="preserve">BH referral with bi-directional communication, tracking, and monitoring: retain and provide to patients a list of local and reasonably-accessible BH providers who are within the MassHealth network, including those that offer therapy and counseling services, BH medication management, and intensive outpatient or day treatment programs. </w:t>
      </w:r>
      <w:r w:rsidR="00695115" w:rsidRPr="004E6321">
        <w:rPr>
          <w:rFonts w:cs="Calibri"/>
          <w:sz w:val="24"/>
          <w:szCs w:val="24"/>
        </w:rPr>
        <w:t xml:space="preserve">The list of local BH providers shall be providers with whom the practice can conduct bi-directional communication about the patient. This can include electronic health record, phone, fax, or other modalities. This communication can be asynchronous, but it shall allow for both the primary care practice and the BH practice to communicate back and forth with each other. The practice shall also regularly assess if such partners continue to have bandwidth to see its patients within reasonable turnaround times. </w:t>
      </w:r>
    </w:p>
    <w:p w14:paraId="3C64D16A" w14:textId="6B32B04D" w:rsidR="00F878D0" w:rsidRPr="00F878D0" w:rsidRDefault="000BF0A5" w:rsidP="6D7F93B9">
      <w:pPr>
        <w:spacing w:after="240"/>
        <w:ind w:left="1080"/>
        <w:rPr>
          <w:rFonts w:cs="Calibri"/>
          <w:sz w:val="24"/>
          <w:szCs w:val="24"/>
        </w:rPr>
      </w:pPr>
      <w:r w:rsidRPr="6D7F93B9">
        <w:rPr>
          <w:rFonts w:cs="Calibri"/>
          <w:sz w:val="24"/>
          <w:szCs w:val="24"/>
        </w:rPr>
        <w:t xml:space="preserve">In addition, track referrals made through the practice and problem-solve for patients who are unable to engage in a referral visit. </w:t>
      </w:r>
    </w:p>
    <w:p w14:paraId="3FDC01A6" w14:textId="2E0F0E62" w:rsidR="00F878D0" w:rsidRPr="00BB6C28" w:rsidRDefault="00F878D0" w:rsidP="36AF73CC">
      <w:pPr>
        <w:numPr>
          <w:ilvl w:val="0"/>
          <w:numId w:val="2"/>
        </w:numPr>
        <w:tabs>
          <w:tab w:val="num" w:pos="720"/>
        </w:tabs>
        <w:spacing w:before="120" w:after="240"/>
        <w:ind w:left="1080"/>
        <w:rPr>
          <w:rFonts w:asciiTheme="minorHAnsi" w:hAnsiTheme="minorHAnsi"/>
        </w:rPr>
      </w:pPr>
      <w:r w:rsidRPr="36AF73CC">
        <w:rPr>
          <w:rFonts w:cs="Calibri"/>
          <w:sz w:val="24"/>
          <w:szCs w:val="24"/>
        </w:rPr>
        <w:t>BH medication management: prescribe, refill, and adjust medications for the treatment of common BH issues amenable to treatment in the primary care setting, including but not limited to major depressive disorder, generalized anxiety disorder, and attention deficit-hyperactivity disorder. Such services can occur independently or providers may receive assistance from available resources such as the Massachusetts Child Psychiatry Access Program (MCPAP), a clinical pharmacist, psychiatrist, psychiatric clinical nurse specialist, etc.</w:t>
      </w:r>
      <w:r w:rsidR="00ED6F4E" w:rsidRPr="36AF73CC">
        <w:rPr>
          <w:rFonts w:cs="Calibri"/>
          <w:sz w:val="24"/>
          <w:szCs w:val="24"/>
        </w:rPr>
        <w:t xml:space="preserve"> While practices may offer some BH medication management</w:t>
      </w:r>
      <w:r w:rsidR="54AAEFF7" w:rsidRPr="36AF73CC">
        <w:rPr>
          <w:rFonts w:cs="Calibri"/>
          <w:sz w:val="24"/>
          <w:szCs w:val="24"/>
        </w:rPr>
        <w:t xml:space="preserve"> </w:t>
      </w:r>
      <w:r w:rsidR="00ED6F4E" w:rsidRPr="36AF73CC">
        <w:rPr>
          <w:rFonts w:cs="Calibri"/>
          <w:sz w:val="24"/>
          <w:szCs w:val="24"/>
        </w:rPr>
        <w:t xml:space="preserve">virtually via telehealth, Enrollees must be able to access this requirement </w:t>
      </w:r>
      <w:r w:rsidR="00693BDD" w:rsidRPr="36AF73CC">
        <w:rPr>
          <w:rFonts w:cs="Calibri"/>
          <w:sz w:val="24"/>
          <w:szCs w:val="24"/>
        </w:rPr>
        <w:t>on</w:t>
      </w:r>
      <w:r w:rsidR="006E72B3" w:rsidRPr="36AF73CC">
        <w:rPr>
          <w:rFonts w:cs="Calibri"/>
          <w:sz w:val="24"/>
          <w:szCs w:val="24"/>
        </w:rPr>
        <w:t>-</w:t>
      </w:r>
      <w:r w:rsidR="00693BDD" w:rsidRPr="36AF73CC">
        <w:rPr>
          <w:rFonts w:cs="Calibri"/>
          <w:sz w:val="24"/>
          <w:szCs w:val="24"/>
        </w:rPr>
        <w:t>site.</w:t>
      </w:r>
    </w:p>
    <w:p w14:paraId="61A5EF0F" w14:textId="27F91887" w:rsidR="00F878D0" w:rsidRPr="00BB6C28" w:rsidRDefault="00F878D0" w:rsidP="36AF73CC">
      <w:pPr>
        <w:numPr>
          <w:ilvl w:val="0"/>
          <w:numId w:val="2"/>
        </w:numPr>
        <w:tabs>
          <w:tab w:val="num" w:pos="720"/>
        </w:tabs>
        <w:spacing w:before="120" w:after="240"/>
        <w:ind w:left="1080"/>
        <w:rPr>
          <w:rFonts w:asciiTheme="minorHAnsi" w:hAnsiTheme="minorHAnsi"/>
        </w:rPr>
      </w:pPr>
      <w:r w:rsidRPr="36AF73CC">
        <w:rPr>
          <w:rFonts w:cs="Calibri"/>
          <w:sz w:val="24"/>
          <w:szCs w:val="24"/>
        </w:rPr>
        <w:t xml:space="preserve">Health-Related Social Needs (HRSN) screening: conduct universal practice- or ACO-based screening of attributed patients for HRSN using a standardized, evidence-based tool, and </w:t>
      </w:r>
      <w:r w:rsidR="00585159" w:rsidRPr="36AF73CC">
        <w:rPr>
          <w:rFonts w:cs="Calibri"/>
          <w:sz w:val="24"/>
          <w:szCs w:val="24"/>
        </w:rPr>
        <w:t xml:space="preserve">shall </w:t>
      </w:r>
      <w:r w:rsidRPr="36AF73CC">
        <w:rPr>
          <w:rFonts w:cs="Calibri"/>
          <w:sz w:val="24"/>
          <w:szCs w:val="24"/>
        </w:rPr>
        <w:t xml:space="preserve">have the ability to provide a regularly-updated inventory of relevant community-based resources to those with positive screens. Pediatric screening questions </w:t>
      </w:r>
      <w:r w:rsidR="00FA450F" w:rsidRPr="36AF73CC">
        <w:rPr>
          <w:rFonts w:cs="Calibri"/>
          <w:sz w:val="24"/>
          <w:szCs w:val="24"/>
        </w:rPr>
        <w:t xml:space="preserve">shall </w:t>
      </w:r>
      <w:r w:rsidRPr="36AF73CC">
        <w:rPr>
          <w:rFonts w:cs="Calibri"/>
          <w:sz w:val="24"/>
          <w:szCs w:val="24"/>
        </w:rPr>
        <w:t>be reviewed by the ACO’s designated Pediatric Expert.</w:t>
      </w:r>
      <w:r w:rsidR="00ED6F4E" w:rsidRPr="36AF73CC">
        <w:rPr>
          <w:rFonts w:cs="Calibri"/>
          <w:sz w:val="24"/>
          <w:szCs w:val="24"/>
        </w:rPr>
        <w:t xml:space="preserve"> </w:t>
      </w:r>
      <w:r w:rsidR="54AAEFF7" w:rsidRPr="36AF73CC">
        <w:rPr>
          <w:rFonts w:cs="Calibri"/>
          <w:sz w:val="24"/>
          <w:szCs w:val="24"/>
        </w:rPr>
        <w:t>HRSN screening may be met exclusively via a central or virtual resource, including being provided by the ACO</w:t>
      </w:r>
      <w:r w:rsidR="002E1712" w:rsidRPr="36AF73CC">
        <w:rPr>
          <w:rFonts w:cs="Calibri"/>
          <w:sz w:val="24"/>
          <w:szCs w:val="24"/>
        </w:rPr>
        <w:t>.</w:t>
      </w:r>
    </w:p>
    <w:p w14:paraId="2DB78585" w14:textId="4C6CFC6F" w:rsidR="00F878D0" w:rsidRDefault="00F878D0" w:rsidP="00DD3DC1">
      <w:pPr>
        <w:numPr>
          <w:ilvl w:val="0"/>
          <w:numId w:val="2"/>
        </w:numPr>
        <w:spacing w:before="120" w:after="120"/>
        <w:ind w:left="1080"/>
        <w:rPr>
          <w:rFonts w:cs="Calibri"/>
          <w:sz w:val="24"/>
          <w:szCs w:val="24"/>
        </w:rPr>
      </w:pPr>
      <w:r w:rsidRPr="00F878D0">
        <w:rPr>
          <w:rFonts w:cs="Calibri"/>
          <w:sz w:val="24"/>
          <w:szCs w:val="24"/>
        </w:rPr>
        <w:t>Care coordination: participate in formalized practice-driven and/or ACO-driven care coordination that identifies patients at risk due to medical, BH, HRSN, psychosocial and/or other needs and deploys risk-stratified interventions and approaches to addressing patients’ needs.</w:t>
      </w:r>
    </w:p>
    <w:p w14:paraId="34D2E293" w14:textId="77777777" w:rsidR="00695115" w:rsidRDefault="00F878D0" w:rsidP="00DD3DC1">
      <w:pPr>
        <w:spacing w:before="120" w:after="120"/>
        <w:ind w:left="1080"/>
        <w:rPr>
          <w:rFonts w:cs="Calibri"/>
          <w:sz w:val="24"/>
          <w:szCs w:val="24"/>
        </w:rPr>
      </w:pPr>
      <w:r w:rsidRPr="00F878D0">
        <w:rPr>
          <w:rFonts w:cs="Calibri"/>
          <w:sz w:val="24"/>
          <w:szCs w:val="24"/>
        </w:rPr>
        <w:lastRenderedPageBreak/>
        <w:t xml:space="preserve">Such approaches can include but are not limited to communication and information-sharing between care team patients and specialists or ancillary services, identification and rectification of gaps in preventive care or chronic disease management, assisting patients with transitions of care, pre-visit planning, post-hospitalization coordination, and assistance with patient self-management of chronic disease. Such approaches can also include connecting patients to community-based services, state agencies (e.g., Massachusetts Department of Children and Families [DCF], Massachusetts Department of Developmental Services [DDS], Massachusetts Department of Mental Health [DMH], Massachusetts Department of Public Health [DPH], Massachusetts Department of Transitional Assistance [DTA], Massachusetts Department of Youth Services [DYS]), federal programs (e.g., Supplemental Nutrition Assistance Program [SNAP], Special Supplemental Nutrition Assistance Program for Women, Infants, and Children [WIC]), other ACO programs such as the ACO Care Management, </w:t>
      </w:r>
      <w:hyperlink r:id="rId16">
        <w:r w:rsidRPr="00F878D0">
          <w:rPr>
            <w:rStyle w:val="Hyperlink"/>
            <w:rFonts w:cs="Calibri"/>
            <w:sz w:val="24"/>
            <w:szCs w:val="24"/>
          </w:rPr>
          <w:t>Community Partners</w:t>
        </w:r>
      </w:hyperlink>
      <w:r w:rsidRPr="00F878D0">
        <w:rPr>
          <w:rFonts w:cs="Calibri"/>
          <w:sz w:val="24"/>
          <w:szCs w:val="24"/>
        </w:rPr>
        <w:t xml:space="preserve"> and </w:t>
      </w:r>
      <w:hyperlink r:id="rId17">
        <w:r w:rsidRPr="00F878D0">
          <w:rPr>
            <w:rStyle w:val="Hyperlink"/>
            <w:rFonts w:cs="Calibri"/>
            <w:sz w:val="24"/>
            <w:szCs w:val="24"/>
          </w:rPr>
          <w:t>Flexible Services</w:t>
        </w:r>
      </w:hyperlink>
      <w:r w:rsidRPr="00F878D0">
        <w:rPr>
          <w:rFonts w:cs="Calibri"/>
          <w:sz w:val="24"/>
          <w:szCs w:val="24"/>
        </w:rPr>
        <w:t xml:space="preserve"> programs, and other supports and care management resources. </w:t>
      </w:r>
    </w:p>
    <w:p w14:paraId="6C64D9B5" w14:textId="23D0BAD8" w:rsidR="00F878D0" w:rsidRPr="00F878D0" w:rsidRDefault="00F878D0" w:rsidP="00E959F8">
      <w:pPr>
        <w:spacing w:before="120" w:after="120"/>
        <w:ind w:left="1080"/>
        <w:rPr>
          <w:rFonts w:cs="Calibri"/>
          <w:sz w:val="24"/>
          <w:szCs w:val="24"/>
        </w:rPr>
      </w:pPr>
      <w:r w:rsidRPr="00F878D0">
        <w:rPr>
          <w:rFonts w:cs="Calibri"/>
          <w:sz w:val="24"/>
          <w:szCs w:val="24"/>
        </w:rPr>
        <w:t xml:space="preserve">These services may be provided by practice-based personnel directly, or by ACO- or system-level resources and care pathways that coordinate with the primary care practice. Such interventions </w:t>
      </w:r>
      <w:r w:rsidR="00695115">
        <w:rPr>
          <w:rFonts w:cs="Calibri"/>
          <w:sz w:val="24"/>
          <w:szCs w:val="24"/>
        </w:rPr>
        <w:t>shall</w:t>
      </w:r>
      <w:r w:rsidRPr="00F878D0">
        <w:rPr>
          <w:rFonts w:cs="Calibri"/>
          <w:sz w:val="24"/>
          <w:szCs w:val="24"/>
        </w:rPr>
        <w:t xml:space="preserve"> be standardized and consistent workstreams for the practice and align with the greater ACO’s strategies around physical health, BH, HRSN, and other care coordination.</w:t>
      </w:r>
    </w:p>
    <w:p w14:paraId="6177C722" w14:textId="6020470D" w:rsidR="00F878D0" w:rsidRPr="00BB6C28" w:rsidRDefault="00F878D0" w:rsidP="36AF73CC">
      <w:pPr>
        <w:spacing w:before="120" w:after="240"/>
        <w:ind w:left="1080"/>
        <w:rPr>
          <w:rFonts w:cs="Calibri"/>
          <w:sz w:val="24"/>
          <w:szCs w:val="24"/>
        </w:rPr>
      </w:pPr>
      <w:r w:rsidRPr="36AF73CC">
        <w:rPr>
          <w:rFonts w:cs="Calibri"/>
          <w:sz w:val="24"/>
          <w:szCs w:val="24"/>
        </w:rPr>
        <w:t xml:space="preserve">For more information on ACO expectations around care coordination, please refer to Section </w:t>
      </w:r>
      <w:r w:rsidR="00FA450F" w:rsidRPr="36AF73CC">
        <w:rPr>
          <w:rFonts w:cs="Calibri"/>
          <w:sz w:val="24"/>
          <w:szCs w:val="24"/>
        </w:rPr>
        <w:t>2.6</w:t>
      </w:r>
      <w:r w:rsidRPr="36AF73CC">
        <w:rPr>
          <w:rFonts w:cs="Calibri"/>
          <w:sz w:val="24"/>
          <w:szCs w:val="24"/>
        </w:rPr>
        <w:t xml:space="preserve"> of the </w:t>
      </w:r>
      <w:r w:rsidR="00FA450F" w:rsidRPr="36AF73CC">
        <w:rPr>
          <w:rFonts w:cs="Calibri"/>
          <w:sz w:val="24"/>
          <w:szCs w:val="24"/>
        </w:rPr>
        <w:t>Contract</w:t>
      </w:r>
      <w:r w:rsidRPr="36AF73CC">
        <w:rPr>
          <w:rFonts w:cs="Calibri"/>
          <w:sz w:val="24"/>
          <w:szCs w:val="24"/>
        </w:rPr>
        <w:t xml:space="preserve">. </w:t>
      </w:r>
      <w:r w:rsidR="00DE0957" w:rsidRPr="36AF73CC">
        <w:rPr>
          <w:rFonts w:cs="Calibri"/>
          <w:sz w:val="24"/>
          <w:szCs w:val="24"/>
        </w:rPr>
        <w:t>Care coordination</w:t>
      </w:r>
      <w:r w:rsidR="54AAEFF7" w:rsidRPr="36AF73CC">
        <w:rPr>
          <w:rFonts w:cs="Calibri"/>
          <w:sz w:val="24"/>
          <w:szCs w:val="24"/>
        </w:rPr>
        <w:t xml:space="preserve"> may be met exclusively via a central or virtual resource, including being provided by the ACO</w:t>
      </w:r>
      <w:r w:rsidR="002E1712" w:rsidRPr="36AF73CC">
        <w:rPr>
          <w:rFonts w:cs="Calibri"/>
          <w:sz w:val="24"/>
          <w:szCs w:val="24"/>
        </w:rPr>
        <w:t>.</w:t>
      </w:r>
    </w:p>
    <w:p w14:paraId="37FA0799" w14:textId="4416992D" w:rsidR="4B7E0CD4" w:rsidRPr="00BB6C28" w:rsidRDefault="4B7E0CD4" w:rsidP="36AF73CC">
      <w:pPr>
        <w:numPr>
          <w:ilvl w:val="0"/>
          <w:numId w:val="2"/>
        </w:numPr>
        <w:spacing w:before="120" w:after="240"/>
        <w:ind w:left="1080"/>
        <w:rPr>
          <w:rFonts w:asciiTheme="minorHAnsi" w:hAnsiTheme="minorHAnsi"/>
        </w:rPr>
      </w:pPr>
      <w:r w:rsidRPr="36AF73CC">
        <w:rPr>
          <w:rFonts w:cs="Calibri"/>
          <w:sz w:val="24"/>
          <w:szCs w:val="24"/>
        </w:rPr>
        <w:t>Clinical Advice and Support Line: Ensure patients are made aware of the availability of after-hours telephonic advice, either through the ACO’s Clinical Advice and Support Line, or a resource provider by the practice.</w:t>
      </w:r>
      <w:r w:rsidR="00DD117F" w:rsidRPr="36AF73CC">
        <w:rPr>
          <w:rFonts w:cs="Calibri"/>
          <w:sz w:val="24"/>
          <w:szCs w:val="24"/>
        </w:rPr>
        <w:t xml:space="preserve"> </w:t>
      </w:r>
      <w:r w:rsidR="00E31411" w:rsidRPr="36AF73CC">
        <w:rPr>
          <w:rFonts w:cs="Calibri"/>
          <w:sz w:val="24"/>
          <w:szCs w:val="24"/>
        </w:rPr>
        <w:t>Clinical advice and support line services</w:t>
      </w:r>
      <w:r w:rsidR="54AAEFF7" w:rsidRPr="36AF73CC">
        <w:rPr>
          <w:rFonts w:cs="Calibri"/>
          <w:sz w:val="24"/>
          <w:szCs w:val="24"/>
        </w:rPr>
        <w:t xml:space="preserve"> may be met exclusively via a central or virtual resource, including being provided by the ACO</w:t>
      </w:r>
      <w:r w:rsidR="00857896" w:rsidRPr="36AF73CC">
        <w:rPr>
          <w:rFonts w:cs="Calibri"/>
          <w:sz w:val="24"/>
          <w:szCs w:val="24"/>
        </w:rPr>
        <w:t>.</w:t>
      </w:r>
    </w:p>
    <w:p w14:paraId="08F9CCC9" w14:textId="05CCC47A" w:rsidR="00F878D0" w:rsidRPr="00F878D0" w:rsidRDefault="00F878D0" w:rsidP="0389DC50">
      <w:pPr>
        <w:numPr>
          <w:ilvl w:val="0"/>
          <w:numId w:val="2"/>
        </w:numPr>
        <w:spacing w:before="120" w:after="120"/>
        <w:ind w:left="1080"/>
        <w:rPr>
          <w:rFonts w:eastAsiaTheme="minorEastAsia" w:cs="Calibri"/>
          <w:sz w:val="24"/>
          <w:szCs w:val="24"/>
        </w:rPr>
      </w:pPr>
      <w:r w:rsidRPr="0389DC50">
        <w:rPr>
          <w:rFonts w:cs="Calibri"/>
          <w:sz w:val="24"/>
          <w:szCs w:val="24"/>
        </w:rPr>
        <w:t xml:space="preserve">Postpartum depression screening: </w:t>
      </w:r>
      <w:r w:rsidR="00695115" w:rsidRPr="0389DC50">
        <w:rPr>
          <w:rFonts w:cs="Calibri"/>
          <w:sz w:val="24"/>
          <w:szCs w:val="24"/>
        </w:rPr>
        <w:t>If</w:t>
      </w:r>
      <w:r w:rsidRPr="0389DC50">
        <w:rPr>
          <w:rFonts w:cs="Calibri"/>
          <w:sz w:val="24"/>
          <w:szCs w:val="24"/>
        </w:rPr>
        <w:t xml:space="preserve"> caring for infants in the first year of life or for postpartum individuals who are within 12 months of delivery</w:t>
      </w:r>
      <w:r w:rsidR="00695115" w:rsidRPr="0389DC50">
        <w:rPr>
          <w:rFonts w:cs="Calibri"/>
          <w:sz w:val="24"/>
          <w:szCs w:val="24"/>
        </w:rPr>
        <w:t>,</w:t>
      </w:r>
      <w:r w:rsidRPr="0389DC50">
        <w:rPr>
          <w:rFonts w:cs="Calibri"/>
          <w:sz w:val="24"/>
          <w:szCs w:val="24"/>
        </w:rPr>
        <w:t xml:space="preserve"> screen for postpartum depression using an evidence-based and validated tool, such as the </w:t>
      </w:r>
      <w:hyperlink r:id="rId18">
        <w:r w:rsidR="733EE326" w:rsidRPr="0389DC50">
          <w:rPr>
            <w:rStyle w:val="Hyperlink"/>
            <w:rFonts w:cs="Calibri"/>
            <w:sz w:val="24"/>
            <w:szCs w:val="24"/>
          </w:rPr>
          <w:t>Edinburgh Postnatal Depression Scale (EPDS)</w:t>
        </w:r>
      </w:hyperlink>
      <w:r w:rsidRPr="0389DC50">
        <w:rPr>
          <w:rFonts w:cs="Calibri"/>
          <w:sz w:val="24"/>
          <w:szCs w:val="24"/>
        </w:rPr>
        <w:t>.</w:t>
      </w:r>
      <w:r w:rsidR="00DD117F" w:rsidRPr="0389DC50">
        <w:rPr>
          <w:rFonts w:cs="Calibri"/>
          <w:sz w:val="24"/>
          <w:szCs w:val="24"/>
        </w:rPr>
        <w:t xml:space="preserve"> </w:t>
      </w:r>
    </w:p>
    <w:p w14:paraId="02187E7C" w14:textId="5DCE4432" w:rsidR="00F878D0" w:rsidRPr="00BB6C28" w:rsidRDefault="00F878D0" w:rsidP="36AF73CC">
      <w:pPr>
        <w:spacing w:before="120" w:after="240"/>
        <w:ind w:left="1080"/>
        <w:rPr>
          <w:rFonts w:cs="Calibri"/>
          <w:sz w:val="24"/>
          <w:szCs w:val="24"/>
        </w:rPr>
      </w:pPr>
      <w:r w:rsidRPr="2D958F85">
        <w:rPr>
          <w:rFonts w:cs="Calibri"/>
          <w:sz w:val="24"/>
          <w:szCs w:val="24"/>
        </w:rPr>
        <w:t>For individuals who have a positive screen for postpartum depression</w:t>
      </w:r>
      <w:r w:rsidR="00FA450F" w:rsidRPr="2D958F85">
        <w:rPr>
          <w:rFonts w:cs="Calibri"/>
          <w:sz w:val="24"/>
          <w:szCs w:val="24"/>
        </w:rPr>
        <w:t>,</w:t>
      </w:r>
      <w:r w:rsidRPr="2D958F85">
        <w:rPr>
          <w:rFonts w:cs="Calibri"/>
          <w:sz w:val="24"/>
          <w:szCs w:val="24"/>
        </w:rPr>
        <w:t xml:space="preserve"> the practice </w:t>
      </w:r>
      <w:r w:rsidR="00FA450F" w:rsidRPr="2D958F85">
        <w:rPr>
          <w:rFonts w:cs="Calibri"/>
          <w:sz w:val="24"/>
          <w:szCs w:val="24"/>
        </w:rPr>
        <w:t xml:space="preserve">shall </w:t>
      </w:r>
      <w:r w:rsidRPr="2D958F85">
        <w:rPr>
          <w:rFonts w:cs="Calibri"/>
          <w:sz w:val="24"/>
          <w:szCs w:val="24"/>
        </w:rPr>
        <w:t xml:space="preserve">be able to provide referral, or follow-up, and/or care coordination for the patient. Care coordination models </w:t>
      </w:r>
      <w:r w:rsidR="00FA450F" w:rsidRPr="2D958F85">
        <w:rPr>
          <w:rFonts w:cs="Calibri"/>
          <w:sz w:val="24"/>
          <w:szCs w:val="24"/>
        </w:rPr>
        <w:t xml:space="preserve">shall </w:t>
      </w:r>
      <w:r w:rsidRPr="2D958F85">
        <w:rPr>
          <w:rFonts w:cs="Calibri"/>
          <w:sz w:val="24"/>
          <w:szCs w:val="24"/>
        </w:rPr>
        <w:t xml:space="preserve">be evidence-based (examples of such models include </w:t>
      </w:r>
      <w:hyperlink r:id="rId19">
        <w:r w:rsidRPr="2D958F85">
          <w:rPr>
            <w:rStyle w:val="Hyperlink"/>
            <w:rFonts w:cs="Calibri"/>
            <w:sz w:val="24"/>
            <w:szCs w:val="24"/>
          </w:rPr>
          <w:t>PRISM - Program In Support of Moms</w:t>
        </w:r>
      </w:hyperlink>
      <w:r w:rsidRPr="2D958F85">
        <w:rPr>
          <w:rFonts w:cs="Calibri"/>
          <w:sz w:val="24"/>
          <w:szCs w:val="24"/>
        </w:rPr>
        <w:t xml:space="preserve"> and </w:t>
      </w:r>
      <w:hyperlink r:id="rId20">
        <w:r w:rsidRPr="2D958F85">
          <w:rPr>
            <w:rStyle w:val="Hyperlink"/>
            <w:rFonts w:cs="Calibri"/>
            <w:sz w:val="24"/>
            <w:szCs w:val="24"/>
          </w:rPr>
          <w:t>ROSE - Reach Out Stay Strong Essentials for mothers of newborns</w:t>
        </w:r>
      </w:hyperlink>
      <w:r w:rsidRPr="2D958F85">
        <w:rPr>
          <w:rFonts w:cs="Calibri"/>
          <w:sz w:val="24"/>
          <w:szCs w:val="24"/>
        </w:rPr>
        <w:t>).</w:t>
      </w:r>
      <w:r w:rsidR="5172986D" w:rsidRPr="2D958F85">
        <w:rPr>
          <w:rFonts w:cs="Calibri"/>
          <w:sz w:val="24"/>
          <w:szCs w:val="24"/>
        </w:rPr>
        <w:t xml:space="preserve"> </w:t>
      </w:r>
      <w:r w:rsidR="00ED6F4E" w:rsidRPr="2D958F85">
        <w:rPr>
          <w:rFonts w:cs="Calibri"/>
          <w:sz w:val="24"/>
          <w:szCs w:val="24"/>
        </w:rPr>
        <w:t xml:space="preserve">While practices may offer some </w:t>
      </w:r>
      <w:r w:rsidR="00857896" w:rsidRPr="2D958F85">
        <w:rPr>
          <w:rFonts w:cs="Calibri"/>
          <w:sz w:val="24"/>
          <w:szCs w:val="24"/>
        </w:rPr>
        <w:t>postpartum</w:t>
      </w:r>
      <w:r w:rsidR="00ED6F4E" w:rsidRPr="2D958F85">
        <w:rPr>
          <w:rFonts w:cs="Calibri"/>
          <w:sz w:val="24"/>
          <w:szCs w:val="24"/>
        </w:rPr>
        <w:t xml:space="preserve"> depression screenings</w:t>
      </w:r>
      <w:r w:rsidR="54AAEFF7" w:rsidRPr="2D958F85">
        <w:rPr>
          <w:rFonts w:cs="Calibri"/>
          <w:sz w:val="24"/>
          <w:szCs w:val="24"/>
        </w:rPr>
        <w:t xml:space="preserve"> </w:t>
      </w:r>
      <w:r w:rsidR="00ED6F4E" w:rsidRPr="2D958F85">
        <w:rPr>
          <w:rFonts w:cs="Calibri"/>
          <w:sz w:val="24"/>
          <w:szCs w:val="24"/>
        </w:rPr>
        <w:t xml:space="preserve">virtually via telehealth, Enrollees must be able to access this requirement </w:t>
      </w:r>
      <w:r w:rsidR="00693BDD" w:rsidRPr="2D958F85">
        <w:rPr>
          <w:rFonts w:cs="Calibri"/>
          <w:sz w:val="24"/>
          <w:szCs w:val="24"/>
        </w:rPr>
        <w:t>on</w:t>
      </w:r>
      <w:r w:rsidR="006E72B3" w:rsidRPr="2D958F85">
        <w:rPr>
          <w:rFonts w:cs="Calibri"/>
          <w:sz w:val="24"/>
          <w:szCs w:val="24"/>
        </w:rPr>
        <w:t>-</w:t>
      </w:r>
      <w:r w:rsidR="00693BDD" w:rsidRPr="2D958F85">
        <w:rPr>
          <w:rFonts w:cs="Calibri"/>
          <w:sz w:val="24"/>
          <w:szCs w:val="24"/>
        </w:rPr>
        <w:t>site.</w:t>
      </w:r>
    </w:p>
    <w:p w14:paraId="54191741" w14:textId="3EF51A7B" w:rsidR="00F878D0" w:rsidRPr="00BB6C28" w:rsidRDefault="00F878D0" w:rsidP="4BAE2A67">
      <w:pPr>
        <w:numPr>
          <w:ilvl w:val="0"/>
          <w:numId w:val="2"/>
        </w:numPr>
        <w:tabs>
          <w:tab w:val="num" w:pos="720"/>
        </w:tabs>
        <w:spacing w:before="120" w:after="240"/>
        <w:ind w:left="1080"/>
        <w:rPr>
          <w:rFonts w:asciiTheme="minorHAnsi" w:hAnsiTheme="minorHAnsi"/>
        </w:rPr>
      </w:pPr>
      <w:r w:rsidRPr="4BAE2A67">
        <w:rPr>
          <w:rFonts w:cs="Calibri"/>
          <w:sz w:val="24"/>
          <w:szCs w:val="24"/>
        </w:rPr>
        <w:t xml:space="preserve">Use of Prescription Monitoring Program: All prescribing personnel at the practice site </w:t>
      </w:r>
      <w:r w:rsidR="00FA450F" w:rsidRPr="4BAE2A67">
        <w:rPr>
          <w:rFonts w:cs="Calibri"/>
          <w:sz w:val="24"/>
          <w:szCs w:val="24"/>
        </w:rPr>
        <w:t xml:space="preserve">shall </w:t>
      </w:r>
      <w:r w:rsidRPr="4BAE2A67">
        <w:rPr>
          <w:rFonts w:cs="Calibri"/>
          <w:sz w:val="24"/>
          <w:szCs w:val="24"/>
        </w:rPr>
        <w:t xml:space="preserve">have access to and regularly use the Massachusetts Prescription Awareness Tool (Mass PAT) in accordance with Commonwealth of Massachusetts General Law: </w:t>
      </w:r>
      <w:hyperlink r:id="rId21">
        <w:r w:rsidRPr="4BAE2A67">
          <w:rPr>
            <w:rStyle w:val="Hyperlink"/>
            <w:rFonts w:cs="Calibri"/>
            <w:sz w:val="24"/>
            <w:szCs w:val="24"/>
          </w:rPr>
          <w:t>https://malegislature.gov/Laws/GeneralLaws/PartI/TitleXV/Chapter94C/Section24A</w:t>
        </w:r>
      </w:hyperlink>
      <w:r w:rsidRPr="4BAE2A67">
        <w:rPr>
          <w:rFonts w:cs="Calibri"/>
          <w:sz w:val="24"/>
          <w:szCs w:val="24"/>
        </w:rPr>
        <w:t xml:space="preserve">. </w:t>
      </w:r>
    </w:p>
    <w:p w14:paraId="030648DF" w14:textId="5B5995C7" w:rsidR="00F878D0" w:rsidRPr="00BB6C28" w:rsidRDefault="000BF0A5" w:rsidP="36AF73CC">
      <w:pPr>
        <w:numPr>
          <w:ilvl w:val="0"/>
          <w:numId w:val="2"/>
        </w:numPr>
        <w:spacing w:before="120" w:after="240"/>
        <w:ind w:left="1080"/>
        <w:rPr>
          <w:rFonts w:asciiTheme="minorHAnsi" w:hAnsiTheme="minorHAnsi"/>
        </w:rPr>
      </w:pPr>
      <w:r w:rsidRPr="36AF73CC">
        <w:rPr>
          <w:rFonts w:cs="Calibri"/>
          <w:sz w:val="24"/>
          <w:szCs w:val="24"/>
        </w:rPr>
        <w:t xml:space="preserve">Long-Acting Reversible Contraception (LARC) provision, referral option: </w:t>
      </w:r>
      <w:proofErr w:type="gramStart"/>
      <w:r w:rsidRPr="36AF73CC">
        <w:rPr>
          <w:rFonts w:cs="Calibri"/>
          <w:sz w:val="24"/>
          <w:szCs w:val="24"/>
        </w:rPr>
        <w:t>have the ability to</w:t>
      </w:r>
      <w:proofErr w:type="gramEnd"/>
      <w:r w:rsidRPr="36AF73CC">
        <w:rPr>
          <w:rFonts w:cs="Calibri"/>
          <w:sz w:val="24"/>
          <w:szCs w:val="24"/>
        </w:rPr>
        <w:t xml:space="preserve"> discuss options for LARC (e.g., intrauterine device or subdermal implant) with relevant </w:t>
      </w:r>
      <w:r w:rsidRPr="36AF73CC">
        <w:rPr>
          <w:rFonts w:cs="Calibri"/>
          <w:sz w:val="24"/>
          <w:szCs w:val="24"/>
        </w:rPr>
        <w:lastRenderedPageBreak/>
        <w:t xml:space="preserve">patients and refer patients seeking such options to known in-network providers who can place these for the patient. Providers may also, rather than referring patients, provide and place these directly for patients within the primary care practice. </w:t>
      </w:r>
    </w:p>
    <w:p w14:paraId="10E35EA3" w14:textId="37DE91C6" w:rsidR="00F878D0" w:rsidRPr="00392017" w:rsidRDefault="00F878D0" w:rsidP="00E959F8">
      <w:pPr>
        <w:pStyle w:val="ListParagraph"/>
        <w:numPr>
          <w:ilvl w:val="0"/>
          <w:numId w:val="20"/>
        </w:numPr>
        <w:spacing w:before="120" w:after="120"/>
        <w:rPr>
          <w:b/>
          <w:bCs/>
          <w:sz w:val="24"/>
          <w:szCs w:val="24"/>
        </w:rPr>
      </w:pPr>
      <w:r w:rsidRPr="00392017">
        <w:rPr>
          <w:b/>
          <w:bCs/>
          <w:sz w:val="24"/>
          <w:szCs w:val="24"/>
        </w:rPr>
        <w:t xml:space="preserve">Structure and Staffing </w:t>
      </w:r>
      <w:r w:rsidR="00FA450F" w:rsidRPr="00392017">
        <w:rPr>
          <w:b/>
          <w:bCs/>
          <w:sz w:val="24"/>
          <w:szCs w:val="24"/>
        </w:rPr>
        <w:t>Requirements</w:t>
      </w:r>
    </w:p>
    <w:p w14:paraId="00B94EC5" w14:textId="77777777" w:rsidR="0064768C" w:rsidRPr="0064768C" w:rsidRDefault="0064768C" w:rsidP="00E959F8">
      <w:pPr>
        <w:spacing w:before="120" w:after="120"/>
        <w:ind w:left="360" w:right="720"/>
        <w:rPr>
          <w:rFonts w:cs="Calibri"/>
          <w:i/>
          <w:iCs/>
          <w:sz w:val="24"/>
          <w:szCs w:val="24"/>
        </w:rPr>
      </w:pPr>
      <w:r w:rsidRPr="0064768C">
        <w:rPr>
          <w:rFonts w:cs="Calibri"/>
          <w:i/>
          <w:iCs/>
          <w:sz w:val="24"/>
          <w:szCs w:val="24"/>
        </w:rPr>
        <w:t>Practices shall:</w:t>
      </w:r>
    </w:p>
    <w:p w14:paraId="55ED9043" w14:textId="5BAB4629" w:rsidR="00F878D0" w:rsidRPr="00BB6C28" w:rsidRDefault="00F878D0" w:rsidP="36AF73CC">
      <w:pPr>
        <w:numPr>
          <w:ilvl w:val="0"/>
          <w:numId w:val="3"/>
        </w:numPr>
        <w:spacing w:before="120" w:after="240"/>
        <w:ind w:left="1080"/>
        <w:rPr>
          <w:rFonts w:asciiTheme="minorHAnsi" w:hAnsiTheme="minorHAnsi"/>
        </w:rPr>
      </w:pPr>
      <w:r w:rsidRPr="36AF73CC">
        <w:rPr>
          <w:rFonts w:cs="Calibri"/>
          <w:sz w:val="24"/>
          <w:szCs w:val="24"/>
        </w:rPr>
        <w:t xml:space="preserve">Same-day urgent care capacity: make available time slots each </w:t>
      </w:r>
      <w:r w:rsidR="733EE326" w:rsidRPr="36AF73CC">
        <w:rPr>
          <w:rFonts w:cs="Calibri"/>
          <w:sz w:val="24"/>
          <w:szCs w:val="24"/>
        </w:rPr>
        <w:t xml:space="preserve">day </w:t>
      </w:r>
      <w:r w:rsidRPr="36AF73CC">
        <w:rPr>
          <w:rFonts w:cs="Calibri"/>
          <w:sz w:val="24"/>
          <w:szCs w:val="24"/>
        </w:rPr>
        <w:t xml:space="preserve">for urgent care needs for its patient population. </w:t>
      </w:r>
      <w:r w:rsidR="00ED6F4E" w:rsidRPr="36AF73CC">
        <w:rPr>
          <w:rFonts w:cs="Calibri"/>
          <w:sz w:val="24"/>
          <w:szCs w:val="24"/>
        </w:rPr>
        <w:t>While practices may offer some urgent care capacity</w:t>
      </w:r>
      <w:r w:rsidR="5517BA64" w:rsidRPr="36AF73CC">
        <w:rPr>
          <w:rFonts w:cs="Calibri"/>
          <w:sz w:val="24"/>
          <w:szCs w:val="24"/>
        </w:rPr>
        <w:t xml:space="preserve"> </w:t>
      </w:r>
      <w:r w:rsidR="00ED6F4E" w:rsidRPr="36AF73CC">
        <w:rPr>
          <w:rFonts w:cs="Calibri"/>
          <w:sz w:val="24"/>
          <w:szCs w:val="24"/>
        </w:rPr>
        <w:t xml:space="preserve">virtually via telehealth, Enrollees must be able to access this requirement </w:t>
      </w:r>
      <w:r w:rsidR="00693BDD" w:rsidRPr="36AF73CC">
        <w:rPr>
          <w:rFonts w:cs="Calibri"/>
          <w:sz w:val="24"/>
          <w:szCs w:val="24"/>
        </w:rPr>
        <w:t>on</w:t>
      </w:r>
      <w:r w:rsidR="006E72B3" w:rsidRPr="36AF73CC">
        <w:rPr>
          <w:rFonts w:cs="Calibri"/>
          <w:sz w:val="24"/>
          <w:szCs w:val="24"/>
        </w:rPr>
        <w:t>-</w:t>
      </w:r>
      <w:r w:rsidR="00693BDD" w:rsidRPr="36AF73CC">
        <w:rPr>
          <w:rFonts w:cs="Calibri"/>
          <w:sz w:val="24"/>
          <w:szCs w:val="24"/>
        </w:rPr>
        <w:t>site.</w:t>
      </w:r>
    </w:p>
    <w:p w14:paraId="26C16FF7" w14:textId="3D915C96" w:rsidR="00F878D0" w:rsidRPr="00F878D0" w:rsidRDefault="00F878D0" w:rsidP="00BA3B92">
      <w:pPr>
        <w:numPr>
          <w:ilvl w:val="0"/>
          <w:numId w:val="3"/>
        </w:numPr>
        <w:spacing w:before="120" w:after="240"/>
        <w:ind w:left="1080"/>
        <w:rPr>
          <w:rFonts w:cs="Calibri"/>
          <w:sz w:val="24"/>
          <w:szCs w:val="24"/>
        </w:rPr>
      </w:pPr>
      <w:r w:rsidRPr="36AF73CC">
        <w:rPr>
          <w:rFonts w:cs="Calibri"/>
          <w:sz w:val="24"/>
          <w:szCs w:val="24"/>
        </w:rPr>
        <w:t xml:space="preserve">Video telehealth capability: </w:t>
      </w:r>
      <w:proofErr w:type="gramStart"/>
      <w:r w:rsidRPr="36AF73CC">
        <w:rPr>
          <w:rFonts w:cs="Calibri"/>
          <w:sz w:val="24"/>
          <w:szCs w:val="24"/>
        </w:rPr>
        <w:t>have the ability to</w:t>
      </w:r>
      <w:proofErr w:type="gramEnd"/>
      <w:r w:rsidRPr="36AF73CC">
        <w:rPr>
          <w:rFonts w:cs="Calibri"/>
          <w:sz w:val="24"/>
          <w:szCs w:val="24"/>
        </w:rPr>
        <w:t xml:space="preserve"> conduct visits </w:t>
      </w:r>
      <w:r w:rsidR="733EE326" w:rsidRPr="36AF73CC">
        <w:rPr>
          <w:rFonts w:cs="Calibri"/>
          <w:sz w:val="24"/>
          <w:szCs w:val="24"/>
        </w:rPr>
        <w:t xml:space="preserve">with practice staff </w:t>
      </w:r>
      <w:r w:rsidRPr="36AF73CC">
        <w:rPr>
          <w:rFonts w:cs="Calibri"/>
          <w:sz w:val="24"/>
          <w:szCs w:val="24"/>
        </w:rPr>
        <w:t xml:space="preserve">using a synchronous audio-video telehealth modality in lieu of an in-person patient encounter. </w:t>
      </w:r>
    </w:p>
    <w:p w14:paraId="41555B49" w14:textId="6E7479F9" w:rsidR="00F878D0" w:rsidRPr="00F878D0" w:rsidRDefault="00F878D0" w:rsidP="00BA3B92">
      <w:pPr>
        <w:numPr>
          <w:ilvl w:val="0"/>
          <w:numId w:val="3"/>
        </w:numPr>
        <w:spacing w:before="120" w:after="240"/>
        <w:ind w:left="1080"/>
        <w:rPr>
          <w:rFonts w:cs="Calibri"/>
          <w:sz w:val="24"/>
          <w:szCs w:val="24"/>
        </w:rPr>
      </w:pPr>
      <w:r w:rsidRPr="36AF73CC">
        <w:rPr>
          <w:rFonts w:cs="Calibri"/>
          <w:sz w:val="24"/>
          <w:szCs w:val="24"/>
        </w:rPr>
        <w:t xml:space="preserve">No reduction in hours: Relative to regular practice hours prior to engagement in the sub-capitation program, offer the same or increased number of total regular </w:t>
      </w:r>
      <w:r w:rsidR="733EE326" w:rsidRPr="36AF73CC">
        <w:rPr>
          <w:rFonts w:cs="Calibri"/>
          <w:sz w:val="24"/>
          <w:szCs w:val="24"/>
        </w:rPr>
        <w:t xml:space="preserve">on-site </w:t>
      </w:r>
      <w:r w:rsidRPr="36AF73CC">
        <w:rPr>
          <w:rFonts w:cs="Calibri"/>
          <w:sz w:val="24"/>
          <w:szCs w:val="24"/>
        </w:rPr>
        <w:t xml:space="preserve">operating hours and clinical sessions in which patients have been historically seen. </w:t>
      </w:r>
    </w:p>
    <w:p w14:paraId="3E7E9FDA" w14:textId="24E14C8C" w:rsidR="00F878D0" w:rsidRPr="00F878D0" w:rsidRDefault="00F878D0" w:rsidP="00BA3B92">
      <w:pPr>
        <w:numPr>
          <w:ilvl w:val="0"/>
          <w:numId w:val="3"/>
        </w:numPr>
        <w:spacing w:before="120" w:after="240"/>
        <w:ind w:left="1080"/>
        <w:rPr>
          <w:rFonts w:cs="Calibri"/>
          <w:sz w:val="24"/>
          <w:szCs w:val="24"/>
        </w:rPr>
      </w:pPr>
      <w:r w:rsidRPr="00F878D0">
        <w:rPr>
          <w:rFonts w:cs="Calibri"/>
          <w:sz w:val="24"/>
          <w:szCs w:val="24"/>
        </w:rPr>
        <w:t xml:space="preserve">Access to Translation and Interpreter Services: provide interpreter services for attributed patients, </w:t>
      </w:r>
      <w:r w:rsidR="0064768C">
        <w:rPr>
          <w:rFonts w:cs="Calibri"/>
          <w:sz w:val="24"/>
          <w:szCs w:val="24"/>
        </w:rPr>
        <w:t xml:space="preserve">in accordance with applicable state and federal laws, </w:t>
      </w:r>
      <w:r w:rsidRPr="00F878D0">
        <w:rPr>
          <w:rFonts w:cs="Calibri"/>
          <w:sz w:val="24"/>
          <w:szCs w:val="24"/>
        </w:rPr>
        <w:t xml:space="preserve">including options to accommodate preferred languages and the needs of enrollees who are deaf or hard of hearing. Such services </w:t>
      </w:r>
      <w:r w:rsidR="00FD6877">
        <w:rPr>
          <w:rFonts w:cs="Calibri"/>
          <w:sz w:val="24"/>
          <w:szCs w:val="24"/>
        </w:rPr>
        <w:t>shall</w:t>
      </w:r>
      <w:r w:rsidR="00FD6877" w:rsidRPr="00F878D0">
        <w:rPr>
          <w:rFonts w:cs="Calibri"/>
          <w:sz w:val="24"/>
          <w:szCs w:val="24"/>
        </w:rPr>
        <w:t xml:space="preserve"> </w:t>
      </w:r>
      <w:r w:rsidRPr="00F878D0">
        <w:rPr>
          <w:rFonts w:cs="Calibri"/>
          <w:sz w:val="24"/>
          <w:szCs w:val="24"/>
        </w:rPr>
        <w:t>be noted to be available in a patient’s or their caregiver’s preferred language and should come without additional cost to the patient.</w:t>
      </w:r>
      <w:r w:rsidR="00312760">
        <w:rPr>
          <w:rFonts w:cs="Calibri"/>
          <w:sz w:val="24"/>
          <w:szCs w:val="24"/>
        </w:rPr>
        <w:t xml:space="preserve"> </w:t>
      </w:r>
    </w:p>
    <w:p w14:paraId="68126ABC" w14:textId="05681D67" w:rsidR="00F878D0" w:rsidRPr="00392017" w:rsidRDefault="00F878D0" w:rsidP="00E959F8">
      <w:pPr>
        <w:pStyle w:val="ListParagraph"/>
        <w:numPr>
          <w:ilvl w:val="0"/>
          <w:numId w:val="20"/>
        </w:numPr>
        <w:spacing w:before="120" w:after="120"/>
        <w:rPr>
          <w:b/>
          <w:bCs/>
          <w:sz w:val="24"/>
          <w:szCs w:val="24"/>
        </w:rPr>
      </w:pPr>
      <w:r w:rsidRPr="00392017">
        <w:rPr>
          <w:b/>
          <w:bCs/>
          <w:sz w:val="24"/>
          <w:szCs w:val="24"/>
        </w:rPr>
        <w:t xml:space="preserve">Population-Specific </w:t>
      </w:r>
      <w:r w:rsidR="00FD6877" w:rsidRPr="00392017">
        <w:rPr>
          <w:b/>
          <w:bCs/>
          <w:sz w:val="24"/>
          <w:szCs w:val="24"/>
        </w:rPr>
        <w:t>Requirements</w:t>
      </w:r>
      <w:r w:rsidRPr="00392017">
        <w:rPr>
          <w:b/>
          <w:bCs/>
          <w:sz w:val="24"/>
          <w:szCs w:val="24"/>
        </w:rPr>
        <w:t xml:space="preserve"> </w:t>
      </w:r>
    </w:p>
    <w:p w14:paraId="53EE4881" w14:textId="77777777" w:rsidR="001371E9" w:rsidRPr="001371E9" w:rsidRDefault="001371E9" w:rsidP="00E959F8">
      <w:pPr>
        <w:spacing w:before="120" w:after="120"/>
        <w:ind w:left="360" w:right="270"/>
        <w:rPr>
          <w:rFonts w:cs="Calibri"/>
          <w:i/>
          <w:sz w:val="24"/>
          <w:szCs w:val="24"/>
        </w:rPr>
      </w:pPr>
      <w:bookmarkStart w:id="4" w:name="_Hlk100589939"/>
      <w:bookmarkStart w:id="5" w:name="_Hlk100589923"/>
      <w:r w:rsidRPr="001371E9">
        <w:rPr>
          <w:rFonts w:cs="Calibri"/>
          <w:i/>
          <w:sz w:val="24"/>
          <w:szCs w:val="24"/>
        </w:rPr>
        <w:t xml:space="preserve">Practices serving Enrollees </w:t>
      </w:r>
      <w:r w:rsidRPr="001371E9">
        <w:rPr>
          <w:rFonts w:cs="Calibri"/>
          <w:i/>
          <w:iCs/>
          <w:sz w:val="24"/>
          <w:szCs w:val="24"/>
        </w:rPr>
        <w:t xml:space="preserve">21 </w:t>
      </w:r>
      <w:r w:rsidRPr="001371E9">
        <w:rPr>
          <w:rFonts w:cs="Calibri"/>
          <w:i/>
          <w:sz w:val="24"/>
          <w:szCs w:val="24"/>
        </w:rPr>
        <w:t xml:space="preserve">years </w:t>
      </w:r>
      <w:r w:rsidRPr="001371E9">
        <w:rPr>
          <w:rFonts w:cs="Calibri"/>
          <w:i/>
          <w:iCs/>
          <w:sz w:val="24"/>
          <w:szCs w:val="24"/>
        </w:rPr>
        <w:t>of</w:t>
      </w:r>
      <w:r w:rsidRPr="001371E9">
        <w:rPr>
          <w:rFonts w:cs="Calibri"/>
          <w:i/>
          <w:sz w:val="24"/>
          <w:szCs w:val="24"/>
        </w:rPr>
        <w:t xml:space="preserve"> age or younger shall:</w:t>
      </w:r>
      <w:bookmarkEnd w:id="4"/>
    </w:p>
    <w:bookmarkEnd w:id="5"/>
    <w:p w14:paraId="55962493" w14:textId="5B73C9DD" w:rsidR="00F878D0" w:rsidRPr="00BB6C28" w:rsidRDefault="0064768C" w:rsidP="36AF73CC">
      <w:pPr>
        <w:numPr>
          <w:ilvl w:val="0"/>
          <w:numId w:val="4"/>
        </w:numPr>
        <w:tabs>
          <w:tab w:val="clear" w:pos="720"/>
        </w:tabs>
        <w:spacing w:before="120" w:after="240"/>
        <w:ind w:left="1080"/>
        <w:rPr>
          <w:rFonts w:asciiTheme="minorHAnsi" w:hAnsiTheme="minorHAnsi"/>
          <w:color w:val="141414"/>
        </w:rPr>
      </w:pPr>
      <w:r w:rsidRPr="36AF73CC">
        <w:rPr>
          <w:rFonts w:cs="Calibri"/>
          <w:sz w:val="24"/>
          <w:szCs w:val="24"/>
        </w:rPr>
        <w:t>A</w:t>
      </w:r>
      <w:r w:rsidR="00F878D0" w:rsidRPr="36AF73CC">
        <w:rPr>
          <w:rFonts w:cs="Calibri"/>
          <w:sz w:val="24"/>
          <w:szCs w:val="24"/>
        </w:rPr>
        <w:t xml:space="preserve">dminister, at a minimum, BH, developmental, social, and other screenings and assessments as required under </w:t>
      </w:r>
      <w:r w:rsidR="733EE326" w:rsidRPr="36AF73CC">
        <w:rPr>
          <w:rFonts w:cs="Calibri"/>
          <w:sz w:val="24"/>
          <w:szCs w:val="24"/>
        </w:rPr>
        <w:t>EPSDT.</w:t>
      </w:r>
      <w:r w:rsidR="00270C4E" w:rsidRPr="36AF73CC">
        <w:rPr>
          <w:rFonts w:cs="Calibri"/>
          <w:sz w:val="24"/>
          <w:szCs w:val="24"/>
        </w:rPr>
        <w:t xml:space="preserve"> </w:t>
      </w:r>
      <w:r w:rsidR="26128065" w:rsidRPr="36AF73CC">
        <w:rPr>
          <w:rFonts w:cs="Calibri"/>
          <w:sz w:val="24"/>
          <w:szCs w:val="24"/>
        </w:rPr>
        <w:t>While practices may offer some EPSDT screenings</w:t>
      </w:r>
      <w:r w:rsidR="644E4B6A" w:rsidRPr="36AF73CC">
        <w:rPr>
          <w:rFonts w:cs="Calibri"/>
          <w:sz w:val="24"/>
          <w:szCs w:val="24"/>
        </w:rPr>
        <w:t xml:space="preserve"> </w:t>
      </w:r>
      <w:r w:rsidR="26128065" w:rsidRPr="36AF73CC">
        <w:rPr>
          <w:rFonts w:cs="Calibri"/>
          <w:sz w:val="24"/>
          <w:szCs w:val="24"/>
        </w:rPr>
        <w:t xml:space="preserve">virtually via telehealth, Enrollees must be able to access this requirement </w:t>
      </w:r>
      <w:r w:rsidR="0AFCC47C" w:rsidRPr="36AF73CC">
        <w:rPr>
          <w:rFonts w:cs="Calibri"/>
          <w:sz w:val="24"/>
          <w:szCs w:val="24"/>
        </w:rPr>
        <w:t>on</w:t>
      </w:r>
      <w:r w:rsidR="2D3078CB" w:rsidRPr="36AF73CC">
        <w:rPr>
          <w:rFonts w:cs="Calibri"/>
          <w:sz w:val="24"/>
          <w:szCs w:val="24"/>
        </w:rPr>
        <w:t>-</w:t>
      </w:r>
      <w:r w:rsidR="0AFCC47C" w:rsidRPr="36AF73CC">
        <w:rPr>
          <w:rFonts w:cs="Calibri"/>
          <w:sz w:val="24"/>
          <w:szCs w:val="24"/>
        </w:rPr>
        <w:t>site.</w:t>
      </w:r>
    </w:p>
    <w:p w14:paraId="0CCECF7D" w14:textId="291CE8D1" w:rsidR="00F878D0" w:rsidRPr="00BB6C28" w:rsidRDefault="0064768C" w:rsidP="36AF73CC">
      <w:pPr>
        <w:numPr>
          <w:ilvl w:val="0"/>
          <w:numId w:val="4"/>
        </w:numPr>
        <w:tabs>
          <w:tab w:val="clear" w:pos="720"/>
        </w:tabs>
        <w:spacing w:before="120" w:after="240"/>
        <w:ind w:left="1080"/>
        <w:rPr>
          <w:rFonts w:asciiTheme="minorHAnsi" w:hAnsiTheme="minorHAnsi"/>
          <w:color w:val="141414"/>
        </w:rPr>
      </w:pPr>
      <w:r w:rsidRPr="36AF73CC">
        <w:rPr>
          <w:rFonts w:cs="Calibri"/>
          <w:color w:val="141414"/>
          <w:sz w:val="24"/>
          <w:szCs w:val="24"/>
        </w:rPr>
        <w:t>S</w:t>
      </w:r>
      <w:r w:rsidR="00F878D0" w:rsidRPr="36AF73CC">
        <w:rPr>
          <w:rFonts w:cs="Calibri"/>
          <w:color w:val="141414"/>
          <w:sz w:val="24"/>
          <w:szCs w:val="24"/>
        </w:rPr>
        <w:t xml:space="preserve">creen for SNAP and </w:t>
      </w:r>
      <w:hyperlink r:id="rId22">
        <w:r w:rsidR="00F878D0" w:rsidRPr="36AF73CC">
          <w:rPr>
            <w:rStyle w:val="Hyperlink"/>
            <w:rFonts w:cs="Calibri"/>
            <w:sz w:val="24"/>
            <w:szCs w:val="24"/>
          </w:rPr>
          <w:t>WIC</w:t>
        </w:r>
      </w:hyperlink>
      <w:r w:rsidR="00F878D0" w:rsidRPr="36AF73CC">
        <w:rPr>
          <w:rFonts w:cs="Calibri"/>
          <w:color w:val="141414"/>
          <w:sz w:val="24"/>
          <w:szCs w:val="24"/>
        </w:rPr>
        <w:t xml:space="preserve"> eligibility, in accordance with </w:t>
      </w:r>
      <w:hyperlink r:id="rId23" w:anchor="-appendix-w:-epsdt-services-medical-and-dental-protocols-and-periodicity-schedules-">
        <w:r w:rsidR="00F878D0" w:rsidRPr="36AF73CC">
          <w:rPr>
            <w:rStyle w:val="Hyperlink"/>
            <w:rFonts w:cs="Calibri"/>
            <w:sz w:val="24"/>
            <w:szCs w:val="24"/>
          </w:rPr>
          <w:t>Provider Manual Appendix W,</w:t>
        </w:r>
      </w:hyperlink>
      <w:r w:rsidR="00BE2916" w:rsidRPr="36AF73CC">
        <w:rPr>
          <w:rFonts w:cs="Calibri"/>
          <w:color w:val="141414"/>
          <w:sz w:val="24"/>
          <w:szCs w:val="24"/>
        </w:rPr>
        <w:t xml:space="preserve"> if applicable</w:t>
      </w:r>
      <w:r w:rsidR="628068A5" w:rsidRPr="36AF73CC">
        <w:rPr>
          <w:rFonts w:cs="Calibri"/>
          <w:color w:val="141414"/>
          <w:sz w:val="24"/>
          <w:szCs w:val="24"/>
        </w:rPr>
        <w:t>:</w:t>
      </w:r>
      <w:r w:rsidR="00F878D0" w:rsidRPr="36AF73CC">
        <w:rPr>
          <w:rFonts w:cs="Calibri"/>
          <w:color w:val="141414"/>
          <w:sz w:val="24"/>
          <w:szCs w:val="24"/>
        </w:rPr>
        <w:t xml:space="preserve"> </w:t>
      </w:r>
      <w:r w:rsidRPr="36AF73CC">
        <w:rPr>
          <w:rFonts w:cs="Calibri"/>
          <w:color w:val="141414"/>
          <w:sz w:val="24"/>
          <w:szCs w:val="24"/>
        </w:rPr>
        <w:t>Practices</w:t>
      </w:r>
      <w:r w:rsidR="00F878D0" w:rsidRPr="36AF73CC">
        <w:rPr>
          <w:rFonts w:cs="Calibri"/>
          <w:color w:val="141414"/>
          <w:sz w:val="24"/>
          <w:szCs w:val="24"/>
        </w:rPr>
        <w:t xml:space="preserve"> </w:t>
      </w:r>
      <w:r w:rsidR="00BE2916" w:rsidRPr="36AF73CC">
        <w:rPr>
          <w:rFonts w:cs="Calibri"/>
          <w:sz w:val="24"/>
          <w:szCs w:val="24"/>
        </w:rPr>
        <w:t xml:space="preserve">shall </w:t>
      </w:r>
      <w:r w:rsidR="00F878D0" w:rsidRPr="36AF73CC">
        <w:rPr>
          <w:rFonts w:cs="Calibri"/>
          <w:color w:val="141414"/>
          <w:sz w:val="24"/>
          <w:szCs w:val="24"/>
        </w:rPr>
        <w:t xml:space="preserve">also complete the medical referral form for WIC eligible patients. Patients and families deemed eligible for these programs should be referred to further resources </w:t>
      </w:r>
      <w:proofErr w:type="gramStart"/>
      <w:r w:rsidR="00F878D0" w:rsidRPr="36AF73CC">
        <w:rPr>
          <w:rFonts w:cs="Calibri"/>
          <w:color w:val="141414"/>
          <w:sz w:val="24"/>
          <w:szCs w:val="24"/>
        </w:rPr>
        <w:t>in order to</w:t>
      </w:r>
      <w:proofErr w:type="gramEnd"/>
      <w:r w:rsidR="00F878D0" w:rsidRPr="36AF73CC">
        <w:rPr>
          <w:rFonts w:cs="Calibri"/>
          <w:color w:val="141414"/>
          <w:sz w:val="24"/>
          <w:szCs w:val="24"/>
        </w:rPr>
        <w:t xml:space="preserve"> apply for and engage these programs. </w:t>
      </w:r>
      <w:r w:rsidR="26128065" w:rsidRPr="36AF73CC">
        <w:rPr>
          <w:rFonts w:cs="Calibri"/>
          <w:sz w:val="24"/>
          <w:szCs w:val="24"/>
        </w:rPr>
        <w:t>While practices may offer some SNAP and WIC screenings</w:t>
      </w:r>
      <w:r w:rsidR="644E4B6A" w:rsidRPr="36AF73CC">
        <w:rPr>
          <w:rFonts w:cs="Calibri"/>
          <w:sz w:val="24"/>
          <w:szCs w:val="24"/>
        </w:rPr>
        <w:t xml:space="preserve"> </w:t>
      </w:r>
      <w:r w:rsidR="26128065" w:rsidRPr="36AF73CC">
        <w:rPr>
          <w:rFonts w:cs="Calibri"/>
          <w:sz w:val="24"/>
          <w:szCs w:val="24"/>
        </w:rPr>
        <w:t xml:space="preserve">virtually via telehealth, Enrollees must be able to access this requirement </w:t>
      </w:r>
      <w:r w:rsidR="0AFCC47C" w:rsidRPr="36AF73CC">
        <w:rPr>
          <w:rFonts w:cs="Calibri"/>
          <w:sz w:val="24"/>
          <w:szCs w:val="24"/>
        </w:rPr>
        <w:t>on</w:t>
      </w:r>
      <w:r w:rsidR="2D3078CB" w:rsidRPr="36AF73CC">
        <w:rPr>
          <w:rFonts w:cs="Calibri"/>
          <w:sz w:val="24"/>
          <w:szCs w:val="24"/>
        </w:rPr>
        <w:t>-</w:t>
      </w:r>
      <w:r w:rsidR="0AFCC47C" w:rsidRPr="36AF73CC">
        <w:rPr>
          <w:rFonts w:cs="Calibri"/>
          <w:sz w:val="24"/>
          <w:szCs w:val="24"/>
        </w:rPr>
        <w:t>site.</w:t>
      </w:r>
    </w:p>
    <w:p w14:paraId="5196AB4E" w14:textId="673E20D9" w:rsidR="00F878D0" w:rsidRPr="00BB6C28" w:rsidRDefault="000BF0A5" w:rsidP="36AF73CC">
      <w:pPr>
        <w:pStyle w:val="ListParagraph"/>
        <w:numPr>
          <w:ilvl w:val="0"/>
          <w:numId w:val="4"/>
        </w:numPr>
        <w:tabs>
          <w:tab w:val="clear" w:pos="720"/>
          <w:tab w:val="left" w:pos="1710"/>
        </w:tabs>
        <w:spacing w:before="120" w:after="240"/>
        <w:ind w:left="1080"/>
        <w:rPr>
          <w:rFonts w:asciiTheme="minorHAnsi" w:hAnsiTheme="minorHAnsi"/>
          <w:color w:val="141414"/>
        </w:rPr>
      </w:pPr>
      <w:r w:rsidRPr="36AF73CC">
        <w:rPr>
          <w:rFonts w:cs="Calibri"/>
          <w:color w:val="141414"/>
          <w:sz w:val="24"/>
          <w:szCs w:val="24"/>
        </w:rPr>
        <w:t>Establish and maintain relationships with local Children’s Behavioral Health Initiative (CBHI</w:t>
      </w:r>
      <w:r w:rsidR="635FB058" w:rsidRPr="36AF73CC">
        <w:rPr>
          <w:rFonts w:cs="Calibri"/>
          <w:color w:val="141414"/>
          <w:sz w:val="24"/>
          <w:szCs w:val="24"/>
        </w:rPr>
        <w:t>)</w:t>
      </w:r>
      <w:r w:rsidR="3C4884D9" w:rsidRPr="36AF73CC">
        <w:rPr>
          <w:rFonts w:cs="Calibri"/>
          <w:color w:val="141414"/>
          <w:sz w:val="24"/>
          <w:szCs w:val="24"/>
        </w:rPr>
        <w:t xml:space="preserve">: </w:t>
      </w:r>
      <w:r w:rsidRPr="36AF73CC">
        <w:rPr>
          <w:rFonts w:cs="Calibri"/>
          <w:color w:val="141414"/>
          <w:sz w:val="24"/>
          <w:szCs w:val="24"/>
        </w:rPr>
        <w:t xml:space="preserve">The practice </w:t>
      </w:r>
      <w:r w:rsidR="06467199" w:rsidRPr="36AF73CC">
        <w:rPr>
          <w:rFonts w:cs="Calibri"/>
          <w:color w:val="141414"/>
          <w:sz w:val="24"/>
          <w:szCs w:val="24"/>
        </w:rPr>
        <w:t>shall</w:t>
      </w:r>
      <w:r w:rsidRPr="36AF73CC">
        <w:rPr>
          <w:rFonts w:cs="Calibri"/>
          <w:color w:val="141414"/>
          <w:sz w:val="24"/>
          <w:szCs w:val="24"/>
        </w:rPr>
        <w:t xml:space="preserve"> identify its staff member(s) responsible for 1) communicating with and reporting to CBHI program in a closed-loop manner, and 2) maintaining a roster of children attributed to the practice who are receiving CBHI services</w:t>
      </w:r>
      <w:r w:rsidR="00B29ABB" w:rsidRPr="36AF73CC">
        <w:rPr>
          <w:rFonts w:cs="Calibri"/>
          <w:color w:val="141414"/>
          <w:sz w:val="24"/>
          <w:szCs w:val="24"/>
        </w:rPr>
        <w:t xml:space="preserve">. </w:t>
      </w:r>
    </w:p>
    <w:p w14:paraId="777AFB39" w14:textId="63CB63BD" w:rsidR="00F878D0" w:rsidRPr="00BB6C28" w:rsidRDefault="000BF0A5" w:rsidP="6D7F93B9">
      <w:pPr>
        <w:numPr>
          <w:ilvl w:val="0"/>
          <w:numId w:val="4"/>
        </w:numPr>
        <w:tabs>
          <w:tab w:val="clear" w:pos="720"/>
        </w:tabs>
        <w:spacing w:before="120" w:after="240"/>
        <w:ind w:left="1080"/>
        <w:rPr>
          <w:rFonts w:asciiTheme="minorHAnsi" w:hAnsiTheme="minorHAnsi"/>
        </w:rPr>
      </w:pPr>
      <w:r w:rsidRPr="6D7F93B9">
        <w:rPr>
          <w:rFonts w:cs="Calibri"/>
          <w:sz w:val="24"/>
          <w:szCs w:val="24"/>
        </w:rPr>
        <w:t xml:space="preserve">Coordination with MCPAP: enroll with MCPAP at </w:t>
      </w:r>
      <w:hyperlink r:id="rId24">
        <w:r w:rsidRPr="6D7F93B9">
          <w:rPr>
            <w:rStyle w:val="Hyperlink"/>
            <w:rFonts w:cs="Calibri"/>
            <w:sz w:val="24"/>
            <w:szCs w:val="24"/>
          </w:rPr>
          <w:t>https://www.mcpap.com/</w:t>
        </w:r>
      </w:hyperlink>
      <w:r w:rsidRPr="6D7F93B9">
        <w:rPr>
          <w:rFonts w:cs="Calibri"/>
          <w:sz w:val="24"/>
          <w:szCs w:val="24"/>
        </w:rPr>
        <w:t xml:space="preserve">. The practice </w:t>
      </w:r>
      <w:r w:rsidR="06467199" w:rsidRPr="6D7F93B9">
        <w:rPr>
          <w:rFonts w:cs="Calibri"/>
          <w:sz w:val="24"/>
          <w:szCs w:val="24"/>
        </w:rPr>
        <w:t>shall</w:t>
      </w:r>
      <w:r w:rsidRPr="6D7F93B9">
        <w:rPr>
          <w:rFonts w:cs="Calibri"/>
          <w:sz w:val="24"/>
          <w:szCs w:val="24"/>
        </w:rPr>
        <w:t xml:space="preserve"> consult with and use the services of MCPAP to augment the BH expertise provided within the practice </w:t>
      </w:r>
      <w:proofErr w:type="gramStart"/>
      <w:r w:rsidRPr="6D7F93B9">
        <w:rPr>
          <w:rFonts w:cs="Calibri"/>
          <w:sz w:val="24"/>
          <w:szCs w:val="24"/>
        </w:rPr>
        <w:t>as a means to</w:t>
      </w:r>
      <w:proofErr w:type="gramEnd"/>
      <w:r w:rsidRPr="6D7F93B9">
        <w:rPr>
          <w:rFonts w:cs="Calibri"/>
          <w:sz w:val="24"/>
          <w:szCs w:val="24"/>
        </w:rPr>
        <w:t xml:space="preserve"> maintain the management of youth with mild to moderate BH conditions in primary care. Alternatively, the practice can satisfy this requirement by accessing equivalent resources available within their own health system – such as </w:t>
      </w:r>
      <w:r w:rsidRPr="6D7F93B9">
        <w:rPr>
          <w:rFonts w:cs="Calibri"/>
          <w:sz w:val="24"/>
          <w:szCs w:val="24"/>
        </w:rPr>
        <w:lastRenderedPageBreak/>
        <w:t xml:space="preserve">consultation with child and adolescent psychiatrists working in the clinic or a neighboring site or via consultation from an asynchronous resource such as an e-consult. Use of such an alternative resource, however, does not exempt the practice from enrolling with MCPAP. </w:t>
      </w:r>
    </w:p>
    <w:p w14:paraId="0531A7D3" w14:textId="3A321949" w:rsidR="00F878D0" w:rsidRPr="00BB6C28" w:rsidRDefault="00F878D0" w:rsidP="36AF73CC">
      <w:pPr>
        <w:numPr>
          <w:ilvl w:val="0"/>
          <w:numId w:val="4"/>
        </w:numPr>
        <w:tabs>
          <w:tab w:val="clear" w:pos="720"/>
        </w:tabs>
        <w:spacing w:before="120" w:after="240"/>
        <w:ind w:left="1080"/>
        <w:rPr>
          <w:rFonts w:asciiTheme="minorHAnsi" w:hAnsiTheme="minorHAnsi"/>
        </w:rPr>
      </w:pPr>
      <w:r w:rsidRPr="36AF73CC">
        <w:rPr>
          <w:rFonts w:cs="Calibri"/>
          <w:sz w:val="24"/>
          <w:szCs w:val="24"/>
        </w:rPr>
        <w:t xml:space="preserve">Coordination with Massachusetts Child Psychiatry Access Program for Moms (M4M): If </w:t>
      </w:r>
      <w:r w:rsidR="0064768C" w:rsidRPr="36AF73CC">
        <w:rPr>
          <w:rFonts w:cs="Calibri"/>
          <w:sz w:val="24"/>
          <w:szCs w:val="24"/>
        </w:rPr>
        <w:t>providing</w:t>
      </w:r>
      <w:r w:rsidRPr="36AF73CC">
        <w:rPr>
          <w:rFonts w:cs="Calibri"/>
          <w:sz w:val="24"/>
          <w:szCs w:val="24"/>
        </w:rPr>
        <w:t xml:space="preserve"> obstetrical services, enroll in the M4M program at</w:t>
      </w:r>
      <w:r w:rsidR="0064768C" w:rsidRPr="36AF73CC">
        <w:rPr>
          <w:rFonts w:cs="Calibri"/>
          <w:sz w:val="24"/>
          <w:szCs w:val="24"/>
        </w:rPr>
        <w:t xml:space="preserve"> </w:t>
      </w:r>
      <w:hyperlink r:id="rId25">
        <w:r w:rsidR="7AF8D7EB" w:rsidRPr="36AF73CC">
          <w:rPr>
            <w:rStyle w:val="Hyperlink"/>
            <w:rFonts w:cs="Calibri"/>
            <w:sz w:val="24"/>
            <w:szCs w:val="24"/>
          </w:rPr>
          <w:t>https://www.mcpapformoms.org/</w:t>
        </w:r>
      </w:hyperlink>
      <w:r w:rsidR="733EE326" w:rsidRPr="36AF73CC">
        <w:rPr>
          <w:rFonts w:cs="Calibri"/>
          <w:sz w:val="24"/>
          <w:szCs w:val="24"/>
        </w:rPr>
        <w:t>.</w:t>
      </w:r>
      <w:r w:rsidRPr="36AF73CC">
        <w:rPr>
          <w:rFonts w:cs="Calibri"/>
          <w:sz w:val="24"/>
          <w:szCs w:val="24"/>
        </w:rPr>
        <w:t xml:space="preserve"> The practice </w:t>
      </w:r>
      <w:r w:rsidR="0064768C" w:rsidRPr="36AF73CC">
        <w:rPr>
          <w:rFonts w:cs="Calibri"/>
          <w:sz w:val="24"/>
          <w:szCs w:val="24"/>
        </w:rPr>
        <w:t>shall</w:t>
      </w:r>
      <w:r w:rsidRPr="36AF73CC">
        <w:rPr>
          <w:rFonts w:cs="Calibri"/>
          <w:sz w:val="24"/>
          <w:szCs w:val="24"/>
        </w:rPr>
        <w:t xml:space="preserve"> consult with M4M to augment the BH expertise provided within the practice </w:t>
      </w:r>
      <w:proofErr w:type="gramStart"/>
      <w:r w:rsidRPr="36AF73CC">
        <w:rPr>
          <w:rFonts w:cs="Calibri"/>
          <w:sz w:val="24"/>
          <w:szCs w:val="24"/>
        </w:rPr>
        <w:t>as a means to</w:t>
      </w:r>
      <w:proofErr w:type="gramEnd"/>
      <w:r w:rsidRPr="36AF73CC">
        <w:rPr>
          <w:rFonts w:cs="Calibri"/>
          <w:sz w:val="24"/>
          <w:szCs w:val="24"/>
        </w:rPr>
        <w:t xml:space="preserve"> maintain the management of perinatal patients with mild to moderate BH conditions in primary care. Alternatively, the practice can satisfy this requirement by accessing equivalent resources available within their own health system – such as consultation with a psychiatrist or appropriately trained Ob/Gyn of suitable expertise working in the clinic or a neighboring site, or via consultation from an asynchronous resource such as an e-consult. Use of such an alternative resource however does not exempt the practice from enrolling with the M4M program.</w:t>
      </w:r>
      <w:r w:rsidR="00E10837" w:rsidRPr="36AF73CC">
        <w:rPr>
          <w:rFonts w:cs="Calibri"/>
          <w:sz w:val="24"/>
          <w:szCs w:val="24"/>
        </w:rPr>
        <w:t xml:space="preserve"> </w:t>
      </w:r>
      <w:r w:rsidR="26128065" w:rsidRPr="36AF73CC">
        <w:rPr>
          <w:rFonts w:cs="Calibri"/>
          <w:sz w:val="24"/>
          <w:szCs w:val="24"/>
        </w:rPr>
        <w:t>While practices may offer some coordination with MCPAP</w:t>
      </w:r>
      <w:r w:rsidR="644E4B6A" w:rsidRPr="36AF73CC">
        <w:rPr>
          <w:rFonts w:cs="Calibri"/>
          <w:sz w:val="24"/>
          <w:szCs w:val="24"/>
        </w:rPr>
        <w:t xml:space="preserve"> for Moms </w:t>
      </w:r>
      <w:r w:rsidR="26128065" w:rsidRPr="36AF73CC">
        <w:rPr>
          <w:rFonts w:cs="Calibri"/>
          <w:sz w:val="24"/>
          <w:szCs w:val="24"/>
        </w:rPr>
        <w:t xml:space="preserve">virtually via telehealth, Enrollees must be able to access this requirement </w:t>
      </w:r>
      <w:r w:rsidR="0AFCC47C" w:rsidRPr="36AF73CC">
        <w:rPr>
          <w:rFonts w:cs="Calibri"/>
          <w:sz w:val="24"/>
          <w:szCs w:val="24"/>
        </w:rPr>
        <w:t>on</w:t>
      </w:r>
      <w:r w:rsidR="2D3078CB" w:rsidRPr="36AF73CC">
        <w:rPr>
          <w:rFonts w:cs="Calibri"/>
          <w:sz w:val="24"/>
          <w:szCs w:val="24"/>
        </w:rPr>
        <w:t>-</w:t>
      </w:r>
      <w:r w:rsidR="0AFCC47C" w:rsidRPr="36AF73CC">
        <w:rPr>
          <w:rFonts w:cs="Calibri"/>
          <w:sz w:val="24"/>
          <w:szCs w:val="24"/>
        </w:rPr>
        <w:t>site.</w:t>
      </w:r>
    </w:p>
    <w:p w14:paraId="3B04CFCE" w14:textId="04D0C172" w:rsidR="002F0697" w:rsidRPr="00BB6C28" w:rsidRDefault="000BF0A5" w:rsidP="36AF73CC">
      <w:pPr>
        <w:numPr>
          <w:ilvl w:val="0"/>
          <w:numId w:val="4"/>
        </w:numPr>
        <w:tabs>
          <w:tab w:val="clear" w:pos="720"/>
          <w:tab w:val="num" w:pos="1080"/>
        </w:tabs>
        <w:spacing w:before="120" w:after="240"/>
        <w:ind w:left="1080"/>
        <w:rPr>
          <w:rFonts w:asciiTheme="minorHAnsi" w:hAnsiTheme="minorHAnsi"/>
        </w:rPr>
      </w:pPr>
      <w:r w:rsidRPr="36AF73CC">
        <w:rPr>
          <w:rFonts w:cs="Calibri"/>
          <w:sz w:val="24"/>
          <w:szCs w:val="24"/>
        </w:rPr>
        <w:t>Fluoride varnish for patients ages 6 months up to age 6: assess the need for fluoride varnish at all preventive visits from six (6) months to six (6) years old, and, once teeth are present, must provide application of fluoride varnish on-site in the primary care office at least once every 6 months for all children and every three (3) months for children at high risk for caries, starting when the first tooth erupts and until the patient has another reliable source of dental care (</w:t>
      </w:r>
      <w:hyperlink r:id="rId26">
        <w:r w:rsidRPr="36AF73CC">
          <w:rPr>
            <w:rStyle w:val="Hyperlink"/>
            <w:rFonts w:cs="Calibri"/>
            <w:sz w:val="24"/>
            <w:szCs w:val="24"/>
          </w:rPr>
          <w:t>https://publications.aap.org/pediatrics/article/146/6/e2020034637/33536/Fluoride-Use-in-Caries-Prevention-in-the-Primary</w:t>
        </w:r>
      </w:hyperlink>
      <w:r w:rsidRPr="36AF73CC">
        <w:rPr>
          <w:rFonts w:cs="Calibri"/>
          <w:sz w:val="24"/>
          <w:szCs w:val="24"/>
        </w:rPr>
        <w:t>). For those pediatric patients who do not have a dental home, the practice must share a list of MassHealth dental providers with the parent/caregiver as noted above. If there is a co-located dental office or evidence that the dental office has already provided this service, such may substitute in this requirement for the relevant patients who have access to or have accessed these resources.</w:t>
      </w:r>
      <w:r w:rsidR="617DD8C2" w:rsidRPr="36AF73CC">
        <w:rPr>
          <w:rFonts w:cs="Calibri"/>
          <w:sz w:val="24"/>
          <w:szCs w:val="24"/>
        </w:rPr>
        <w:t xml:space="preserve"> </w:t>
      </w:r>
      <w:r w:rsidR="02EFF373" w:rsidRPr="36AF73CC">
        <w:rPr>
          <w:rFonts w:cs="Calibri"/>
          <w:sz w:val="24"/>
          <w:szCs w:val="24"/>
        </w:rPr>
        <w:t xml:space="preserve">Enrollees must be able to access this fluoride varnish </w:t>
      </w:r>
      <w:r w:rsidR="07BFF8E3" w:rsidRPr="36AF73CC">
        <w:rPr>
          <w:rFonts w:cs="Calibri"/>
          <w:sz w:val="24"/>
          <w:szCs w:val="24"/>
        </w:rPr>
        <w:t>on</w:t>
      </w:r>
      <w:r w:rsidR="18954E27" w:rsidRPr="36AF73CC">
        <w:rPr>
          <w:rFonts w:cs="Calibri"/>
          <w:sz w:val="24"/>
          <w:szCs w:val="24"/>
        </w:rPr>
        <w:t>-</w:t>
      </w:r>
      <w:r w:rsidR="07BFF8E3" w:rsidRPr="36AF73CC">
        <w:rPr>
          <w:rFonts w:cs="Calibri"/>
          <w:sz w:val="24"/>
          <w:szCs w:val="24"/>
        </w:rPr>
        <w:t>site.</w:t>
      </w:r>
    </w:p>
    <w:p w14:paraId="497CAB85" w14:textId="2065F96C" w:rsidR="002F0697" w:rsidRPr="002C1CD1" w:rsidRDefault="002F0697" w:rsidP="36AF73CC">
      <w:pPr>
        <w:pStyle w:val="ListParagraph"/>
        <w:spacing w:before="120" w:after="120"/>
        <w:ind w:right="270"/>
        <w:rPr>
          <w:rFonts w:cs="Calibri"/>
          <w:i/>
          <w:iCs/>
          <w:sz w:val="24"/>
          <w:szCs w:val="24"/>
        </w:rPr>
      </w:pPr>
      <w:r w:rsidRPr="36AF73CC">
        <w:rPr>
          <w:rFonts w:cs="Calibri"/>
          <w:i/>
          <w:iCs/>
          <w:sz w:val="24"/>
          <w:szCs w:val="24"/>
        </w:rPr>
        <w:t xml:space="preserve">There is no </w:t>
      </w:r>
      <w:r w:rsidR="002C1CD1" w:rsidRPr="36AF73CC">
        <w:rPr>
          <w:rFonts w:cs="Calibri"/>
          <w:i/>
          <w:iCs/>
          <w:sz w:val="24"/>
          <w:szCs w:val="24"/>
        </w:rPr>
        <w:t>buprenorphine requirement for Tier 1 practices serving Enrollees under age 21.</w:t>
      </w:r>
    </w:p>
    <w:p w14:paraId="1C9BE74D" w14:textId="77777777" w:rsidR="001371E9" w:rsidRPr="001371E9" w:rsidRDefault="001371E9" w:rsidP="00E959F8">
      <w:pPr>
        <w:spacing w:before="120" w:after="120"/>
        <w:ind w:left="360" w:right="720"/>
        <w:rPr>
          <w:rFonts w:cs="Calibri"/>
          <w:i/>
          <w:sz w:val="24"/>
          <w:szCs w:val="24"/>
        </w:rPr>
      </w:pPr>
      <w:bookmarkStart w:id="6" w:name="_Hlk100644283"/>
      <w:bookmarkStart w:id="7" w:name="_Hlk100644265"/>
      <w:r w:rsidRPr="001371E9">
        <w:rPr>
          <w:rFonts w:cs="Calibri"/>
          <w:i/>
          <w:sz w:val="24"/>
          <w:szCs w:val="24"/>
        </w:rPr>
        <w:t>Practices serving Enrollees ages 21-65 shall:</w:t>
      </w:r>
      <w:bookmarkEnd w:id="6"/>
      <w:r w:rsidRPr="001371E9">
        <w:rPr>
          <w:rFonts w:cs="Calibri"/>
          <w:i/>
          <w:sz w:val="24"/>
          <w:szCs w:val="24"/>
        </w:rPr>
        <w:t xml:space="preserve">  </w:t>
      </w:r>
    </w:p>
    <w:bookmarkEnd w:id="7"/>
    <w:p w14:paraId="60CB61EC" w14:textId="7553DB20" w:rsidR="00F878D0" w:rsidRPr="00F878D0" w:rsidRDefault="42A36C9D" w:rsidP="36AF73CC">
      <w:pPr>
        <w:numPr>
          <w:ilvl w:val="0"/>
          <w:numId w:val="4"/>
        </w:numPr>
        <w:tabs>
          <w:tab w:val="clear" w:pos="720"/>
        </w:tabs>
        <w:spacing w:before="120" w:after="240"/>
        <w:ind w:left="1080"/>
        <w:rPr>
          <w:rFonts w:eastAsiaTheme="minorEastAsia" w:cs="Calibri"/>
          <w:sz w:val="24"/>
          <w:szCs w:val="24"/>
        </w:rPr>
      </w:pPr>
      <w:r w:rsidRPr="36AF73CC">
        <w:rPr>
          <w:rFonts w:cs="Calibri"/>
          <w:sz w:val="24"/>
          <w:szCs w:val="24"/>
        </w:rPr>
        <w:t xml:space="preserve">Buprenorphine Waivered Practitioner Requirement: All </w:t>
      </w:r>
      <w:r w:rsidR="1A5A6A32" w:rsidRPr="36AF73CC">
        <w:rPr>
          <w:rFonts w:cs="Calibri"/>
          <w:sz w:val="24"/>
          <w:szCs w:val="24"/>
        </w:rPr>
        <w:t>individual Primary Care Providers</w:t>
      </w:r>
      <w:r w:rsidR="3EE35853" w:rsidRPr="36AF73CC">
        <w:rPr>
          <w:rFonts w:cs="Calibri"/>
          <w:sz w:val="24"/>
          <w:szCs w:val="24"/>
        </w:rPr>
        <w:t xml:space="preserve"> </w:t>
      </w:r>
      <w:r w:rsidR="4CFBDC30" w:rsidRPr="36AF73CC">
        <w:rPr>
          <w:rFonts w:cs="Calibri"/>
          <w:sz w:val="24"/>
          <w:szCs w:val="24"/>
        </w:rPr>
        <w:t xml:space="preserve">must </w:t>
      </w:r>
      <w:r w:rsidRPr="36AF73CC">
        <w:rPr>
          <w:rFonts w:cs="Calibri"/>
          <w:sz w:val="24"/>
          <w:szCs w:val="24"/>
        </w:rPr>
        <w:t xml:space="preserve">have the capability and credentialing to prescribe buprenorphine. </w:t>
      </w:r>
      <w:r w:rsidR="4CFBDC30" w:rsidRPr="36AF73CC">
        <w:rPr>
          <w:rFonts w:cs="Calibri"/>
          <w:sz w:val="24"/>
          <w:szCs w:val="24"/>
        </w:rPr>
        <w:t xml:space="preserve">This requirement can be met by prescribers either submitting the Substance Abuse and Mental Health Services Administration (SAMHSA) notice of intent (NOI) without additional training requirements, or via having a buprenorphine waiver. </w:t>
      </w:r>
      <w:r w:rsidRPr="36AF73CC">
        <w:rPr>
          <w:rFonts w:cs="Calibri"/>
          <w:sz w:val="24"/>
          <w:szCs w:val="24"/>
        </w:rPr>
        <w:t xml:space="preserve">More information can be found </w:t>
      </w:r>
      <w:hyperlink r:id="rId27">
        <w:r w:rsidR="3EE35853" w:rsidRPr="36AF73CC">
          <w:rPr>
            <w:rStyle w:val="Hyperlink"/>
            <w:rFonts w:cs="Calibri"/>
            <w:sz w:val="24"/>
            <w:szCs w:val="24"/>
          </w:rPr>
          <w:t>here</w:t>
        </w:r>
      </w:hyperlink>
      <w:r w:rsidR="3EE35853" w:rsidRPr="36AF73CC">
        <w:rPr>
          <w:rFonts w:cs="Calibri"/>
          <w:sz w:val="24"/>
          <w:szCs w:val="24"/>
        </w:rPr>
        <w:t>.</w:t>
      </w:r>
      <w:r w:rsidR="432BA4B7" w:rsidRPr="36AF73CC">
        <w:rPr>
          <w:rFonts w:cs="Calibri"/>
          <w:sz w:val="24"/>
          <w:szCs w:val="24"/>
        </w:rPr>
        <w:t xml:space="preserve"> </w:t>
      </w:r>
      <w:r w:rsidR="4CFBDC30" w:rsidRPr="36AF73CC">
        <w:rPr>
          <w:rFonts w:cs="Calibri"/>
          <w:sz w:val="24"/>
          <w:szCs w:val="24"/>
        </w:rPr>
        <w:t xml:space="preserve">The individual </w:t>
      </w:r>
      <w:r w:rsidR="72F6C362" w:rsidRPr="36AF73CC">
        <w:rPr>
          <w:rFonts w:cs="Calibri"/>
          <w:sz w:val="24"/>
          <w:szCs w:val="24"/>
        </w:rPr>
        <w:t>providers need not be actively prescribing buprenorphine to meet this requirement.</w:t>
      </w:r>
      <w:r w:rsidR="38758434" w:rsidRPr="36AF73CC">
        <w:rPr>
          <w:rFonts w:cs="Calibri"/>
          <w:sz w:val="24"/>
          <w:szCs w:val="24"/>
        </w:rPr>
        <w:t xml:space="preserve"> </w:t>
      </w:r>
    </w:p>
    <w:p w14:paraId="7B98C782" w14:textId="183F0C41" w:rsidR="00F878D0" w:rsidRPr="00F878D0" w:rsidRDefault="00876C1B" w:rsidP="00F86EFD">
      <w:r>
        <w:rPr>
          <w:rFonts w:eastAsia="Arial" w:cs="Calibri"/>
          <w:b/>
          <w:noProof/>
          <w:sz w:val="24"/>
          <w:szCs w:val="24"/>
        </w:rPr>
        <w:pict w14:anchorId="555AD235">
          <v:rect id="_x0000_i1028" alt="" style="width:468pt;height:.05pt;mso-width-percent:0;mso-height-percent:0;mso-width-percent:0;mso-height-percent:0" o:hralign="center" o:hrstd="t" o:hr="t" fillcolor="#a0a0a0" stroked="f"/>
        </w:pict>
      </w:r>
    </w:p>
    <w:p w14:paraId="2F2ABA11" w14:textId="6D8A1AAD" w:rsidR="00F878D0" w:rsidRPr="00392017" w:rsidRDefault="00F878D0" w:rsidP="00D74038">
      <w:pPr>
        <w:pStyle w:val="Heading2"/>
        <w:spacing w:after="240"/>
        <w:rPr>
          <w:color w:val="auto"/>
        </w:rPr>
      </w:pPr>
      <w:r w:rsidRPr="00392017">
        <w:rPr>
          <w:color w:val="auto"/>
        </w:rPr>
        <w:t xml:space="preserve">SECTION II: Tier 2 Practice Service Requirements </w:t>
      </w:r>
    </w:p>
    <w:p w14:paraId="46FDBE39" w14:textId="6C894A3C" w:rsidR="0064768C" w:rsidRPr="000F3D92" w:rsidRDefault="0064768C" w:rsidP="002C0B70">
      <w:pPr>
        <w:spacing w:before="120" w:after="120"/>
        <w:rPr>
          <w:rFonts w:cs="Calibri"/>
          <w:sz w:val="24"/>
          <w:szCs w:val="24"/>
        </w:rPr>
      </w:pPr>
      <w:r>
        <w:rPr>
          <w:rFonts w:cs="Calibri"/>
          <w:sz w:val="24"/>
          <w:szCs w:val="24"/>
        </w:rPr>
        <w:t>Requirements to achieve a Tier Designation of Tier 2</w:t>
      </w:r>
      <w:r w:rsidRPr="00F878D0">
        <w:rPr>
          <w:rFonts w:cs="Calibri"/>
          <w:sz w:val="24"/>
          <w:szCs w:val="24"/>
        </w:rPr>
        <w:t>.</w:t>
      </w:r>
      <w:r>
        <w:rPr>
          <w:rFonts w:cs="Calibri"/>
          <w:sz w:val="24"/>
          <w:szCs w:val="24"/>
        </w:rPr>
        <w:t xml:space="preserve"> Practices shall meet </w:t>
      </w:r>
      <w:r w:rsidRPr="0064768C">
        <w:rPr>
          <w:rFonts w:cs="Calibri"/>
          <w:b/>
          <w:bCs/>
          <w:i/>
          <w:iCs/>
          <w:sz w:val="24"/>
          <w:szCs w:val="24"/>
        </w:rPr>
        <w:t xml:space="preserve">all Tier 1 requirements and all </w:t>
      </w:r>
      <w:r>
        <w:rPr>
          <w:rFonts w:cs="Calibri"/>
          <w:b/>
          <w:bCs/>
          <w:i/>
          <w:iCs/>
          <w:sz w:val="24"/>
          <w:szCs w:val="24"/>
        </w:rPr>
        <w:t xml:space="preserve">Tier 2 requirements </w:t>
      </w:r>
      <w:r>
        <w:rPr>
          <w:rFonts w:cs="Calibri"/>
          <w:sz w:val="24"/>
          <w:szCs w:val="24"/>
        </w:rPr>
        <w:t>to achieve this Tier Designation.</w:t>
      </w:r>
    </w:p>
    <w:p w14:paraId="35EAE4C0" w14:textId="5BC30322" w:rsidR="0067158B" w:rsidRPr="00093B9E" w:rsidRDefault="00F878D0" w:rsidP="002C0B70">
      <w:pPr>
        <w:pStyle w:val="ListParagraph"/>
        <w:numPr>
          <w:ilvl w:val="0"/>
          <w:numId w:val="21"/>
        </w:numPr>
        <w:spacing w:before="120" w:after="120"/>
        <w:rPr>
          <w:b/>
          <w:bCs/>
          <w:sz w:val="24"/>
          <w:szCs w:val="24"/>
        </w:rPr>
      </w:pPr>
      <w:r w:rsidRPr="00093B9E">
        <w:rPr>
          <w:b/>
          <w:bCs/>
          <w:sz w:val="24"/>
          <w:szCs w:val="24"/>
        </w:rPr>
        <w:lastRenderedPageBreak/>
        <w:t xml:space="preserve">Care Delivery </w:t>
      </w:r>
    </w:p>
    <w:p w14:paraId="33665B1C" w14:textId="635C0D29" w:rsidR="0067158B" w:rsidRPr="00762F97" w:rsidRDefault="0067158B" w:rsidP="002C0B70">
      <w:pPr>
        <w:tabs>
          <w:tab w:val="left" w:pos="3919"/>
        </w:tabs>
        <w:spacing w:before="120" w:after="120"/>
        <w:ind w:left="360" w:right="720"/>
        <w:rPr>
          <w:rFonts w:cs="Calibri"/>
          <w:i/>
          <w:iCs/>
          <w:sz w:val="24"/>
          <w:szCs w:val="24"/>
        </w:rPr>
      </w:pPr>
      <w:r w:rsidRPr="00762F97">
        <w:rPr>
          <w:rFonts w:cs="Calibri"/>
          <w:i/>
          <w:iCs/>
          <w:sz w:val="24"/>
          <w:szCs w:val="24"/>
        </w:rPr>
        <w:t>The practice shall:</w:t>
      </w:r>
    </w:p>
    <w:p w14:paraId="3369C906" w14:textId="553DB68E" w:rsidR="733EE326" w:rsidRPr="00BB6C28" w:rsidRDefault="733EE326" w:rsidP="36AF73CC">
      <w:pPr>
        <w:numPr>
          <w:ilvl w:val="0"/>
          <w:numId w:val="2"/>
        </w:numPr>
        <w:tabs>
          <w:tab w:val="num" w:pos="720"/>
        </w:tabs>
        <w:spacing w:before="120" w:after="240"/>
        <w:ind w:left="1080"/>
        <w:rPr>
          <w:rFonts w:asciiTheme="minorHAnsi" w:hAnsiTheme="minorHAnsi"/>
        </w:rPr>
      </w:pPr>
      <w:r w:rsidRPr="36AF73CC">
        <w:rPr>
          <w:rFonts w:cs="Calibri"/>
          <w:sz w:val="24"/>
          <w:szCs w:val="24"/>
        </w:rPr>
        <w:t xml:space="preserve">Brief intervention for BH conditions: </w:t>
      </w:r>
      <w:r w:rsidR="1B5DBB77" w:rsidRPr="36AF73CC">
        <w:rPr>
          <w:rFonts w:cs="Calibri"/>
          <w:sz w:val="24"/>
          <w:szCs w:val="24"/>
        </w:rPr>
        <w:t>P</w:t>
      </w:r>
      <w:r w:rsidRPr="36AF73CC">
        <w:rPr>
          <w:rFonts w:cs="Calibri"/>
          <w:sz w:val="24"/>
          <w:szCs w:val="24"/>
        </w:rPr>
        <w:t xml:space="preserve">rovide brief interventions for patients </w:t>
      </w:r>
      <w:r w:rsidR="1B5DBB77" w:rsidRPr="36AF73CC">
        <w:rPr>
          <w:rFonts w:cs="Calibri"/>
          <w:sz w:val="24"/>
          <w:szCs w:val="24"/>
        </w:rPr>
        <w:t>with identified BH needs, as appropriate, s</w:t>
      </w:r>
      <w:r w:rsidRPr="36AF73CC">
        <w:rPr>
          <w:rFonts w:cs="Calibri"/>
          <w:sz w:val="24"/>
          <w:szCs w:val="24"/>
        </w:rPr>
        <w:t xml:space="preserve">uch as Screening, Brief Intervention, and Referral to Treatment (SBIRT), brief Cognitive Behavioral Therapy (CBT), or an equivalent model. These may be provided by a front-line clinical provider or by an integrated member of the clinical team, such as a licensed independent clinical social worker (LICSW). </w:t>
      </w:r>
      <w:r w:rsidR="26128065" w:rsidRPr="36AF73CC">
        <w:rPr>
          <w:rFonts w:cs="Calibri"/>
          <w:sz w:val="24"/>
          <w:szCs w:val="24"/>
        </w:rPr>
        <w:t xml:space="preserve">While practices may offer some BH interventions for BH conditions virtually via telehealth, Enrollees must be able to access this requirement </w:t>
      </w:r>
      <w:r w:rsidR="0AFCC47C" w:rsidRPr="36AF73CC">
        <w:rPr>
          <w:rFonts w:cs="Calibri"/>
          <w:sz w:val="24"/>
          <w:szCs w:val="24"/>
        </w:rPr>
        <w:t>on</w:t>
      </w:r>
      <w:r w:rsidR="2D3078CB" w:rsidRPr="36AF73CC">
        <w:rPr>
          <w:rFonts w:cs="Calibri"/>
          <w:sz w:val="24"/>
          <w:szCs w:val="24"/>
        </w:rPr>
        <w:t>-</w:t>
      </w:r>
      <w:r w:rsidR="0AFCC47C" w:rsidRPr="36AF73CC">
        <w:rPr>
          <w:rFonts w:cs="Calibri"/>
          <w:sz w:val="24"/>
          <w:szCs w:val="24"/>
        </w:rPr>
        <w:t>site.</w:t>
      </w:r>
    </w:p>
    <w:p w14:paraId="48B33EE5" w14:textId="7A8060C1" w:rsidR="00F878D0" w:rsidRPr="0067158B" w:rsidRDefault="00F878D0" w:rsidP="00BB6C28">
      <w:pPr>
        <w:numPr>
          <w:ilvl w:val="0"/>
          <w:numId w:val="2"/>
        </w:numPr>
        <w:tabs>
          <w:tab w:val="num" w:pos="720"/>
        </w:tabs>
        <w:spacing w:before="120" w:after="240" w:line="259" w:lineRule="auto"/>
        <w:ind w:left="1080"/>
        <w:rPr>
          <w:rFonts w:cs="Calibri"/>
          <w:b/>
          <w:bCs/>
          <w:sz w:val="24"/>
          <w:szCs w:val="24"/>
        </w:rPr>
      </w:pPr>
      <w:r w:rsidRPr="0389DC50">
        <w:rPr>
          <w:rFonts w:cs="Calibri"/>
          <w:sz w:val="24"/>
          <w:szCs w:val="24"/>
        </w:rPr>
        <w:t xml:space="preserve">Telehealth-capable BH referral partner: </w:t>
      </w:r>
      <w:r w:rsidR="0067158B" w:rsidRPr="0389DC50">
        <w:rPr>
          <w:rFonts w:cs="Calibri"/>
          <w:sz w:val="24"/>
          <w:szCs w:val="24"/>
        </w:rPr>
        <w:t xml:space="preserve">Include at least one BH provider who </w:t>
      </w:r>
      <w:proofErr w:type="gramStart"/>
      <w:r w:rsidR="0067158B" w:rsidRPr="0389DC50">
        <w:rPr>
          <w:rFonts w:cs="Calibri"/>
          <w:sz w:val="24"/>
          <w:szCs w:val="24"/>
        </w:rPr>
        <w:t>is capable of providing</w:t>
      </w:r>
      <w:proofErr w:type="gramEnd"/>
      <w:r w:rsidR="0067158B" w:rsidRPr="0389DC50">
        <w:rPr>
          <w:rFonts w:cs="Calibri"/>
          <w:sz w:val="24"/>
          <w:szCs w:val="24"/>
        </w:rPr>
        <w:t xml:space="preserve"> services via a synchronous audio-video telehealth modality among its</w:t>
      </w:r>
      <w:r w:rsidRPr="0389DC50">
        <w:rPr>
          <w:rFonts w:cs="Calibri"/>
          <w:sz w:val="24"/>
          <w:szCs w:val="24"/>
        </w:rPr>
        <w:t xml:space="preserve"> local and reasonably-accessible list of BH providers who are within the MassHealth network.</w:t>
      </w:r>
    </w:p>
    <w:p w14:paraId="2722B0EF" w14:textId="1D4C8C7D" w:rsidR="00F878D0" w:rsidRPr="00093B9E" w:rsidRDefault="00F878D0" w:rsidP="002C0B70">
      <w:pPr>
        <w:pStyle w:val="ListParagraph"/>
        <w:numPr>
          <w:ilvl w:val="0"/>
          <w:numId w:val="21"/>
        </w:numPr>
        <w:spacing w:before="120" w:after="120"/>
        <w:rPr>
          <w:b/>
          <w:bCs/>
          <w:sz w:val="24"/>
          <w:szCs w:val="24"/>
        </w:rPr>
      </w:pPr>
      <w:r w:rsidRPr="00093B9E">
        <w:rPr>
          <w:b/>
          <w:bCs/>
          <w:sz w:val="24"/>
          <w:szCs w:val="24"/>
        </w:rPr>
        <w:t xml:space="preserve">Structure and Staffing </w:t>
      </w:r>
    </w:p>
    <w:p w14:paraId="78EA859B" w14:textId="44D9BFE7" w:rsidR="00F878D0" w:rsidRPr="00762F97" w:rsidRDefault="0067158B" w:rsidP="00A543DE">
      <w:pPr>
        <w:spacing w:before="120" w:after="120"/>
        <w:ind w:left="360" w:right="720"/>
        <w:rPr>
          <w:rFonts w:cs="Calibri"/>
          <w:i/>
          <w:iCs/>
          <w:sz w:val="24"/>
          <w:szCs w:val="24"/>
        </w:rPr>
      </w:pPr>
      <w:r w:rsidRPr="00762F97">
        <w:rPr>
          <w:rFonts w:cs="Calibri"/>
          <w:i/>
          <w:iCs/>
          <w:sz w:val="24"/>
          <w:szCs w:val="24"/>
        </w:rPr>
        <w:t>The practice shall:</w:t>
      </w:r>
    </w:p>
    <w:p w14:paraId="25C34327" w14:textId="052FF945" w:rsidR="00F878D0" w:rsidRPr="00F878D0" w:rsidRDefault="00F878D0" w:rsidP="00BA3B92">
      <w:pPr>
        <w:numPr>
          <w:ilvl w:val="0"/>
          <w:numId w:val="5"/>
        </w:numPr>
        <w:spacing w:before="120" w:after="240"/>
        <w:ind w:left="1080"/>
        <w:rPr>
          <w:rFonts w:cs="Calibri"/>
          <w:sz w:val="24"/>
          <w:szCs w:val="24"/>
        </w:rPr>
      </w:pPr>
      <w:r w:rsidRPr="00F878D0">
        <w:rPr>
          <w:rFonts w:cs="Calibri"/>
          <w:sz w:val="24"/>
          <w:szCs w:val="24"/>
        </w:rPr>
        <w:t>E-consults available in at least three (3) specialties: be capable of asynchronous, consultative, provider-to-provider communications within a shared Electronic Health Record (EHR) or web-based platform</w:t>
      </w:r>
      <w:r w:rsidRPr="00F878D0" w:rsidDel="009506F0">
        <w:rPr>
          <w:rFonts w:cs="Calibri"/>
          <w:sz w:val="24"/>
          <w:szCs w:val="24"/>
        </w:rPr>
        <w:t xml:space="preserve"> </w:t>
      </w:r>
      <w:r w:rsidRPr="00F878D0">
        <w:rPr>
          <w:rFonts w:cs="Calibri"/>
          <w:sz w:val="24"/>
          <w:szCs w:val="24"/>
        </w:rPr>
        <w:t xml:space="preserve">between primary care and specialist providers over a secure electronic medium that involves sharing of patient-specific information and discussing clarification or guidance regarding targeted clinical care. </w:t>
      </w:r>
      <w:r w:rsidR="0067158B">
        <w:rPr>
          <w:rFonts w:cs="Calibri"/>
          <w:sz w:val="24"/>
          <w:szCs w:val="24"/>
        </w:rPr>
        <w:t>E</w:t>
      </w:r>
      <w:r w:rsidRPr="00F878D0">
        <w:rPr>
          <w:rFonts w:cs="Calibri"/>
          <w:sz w:val="24"/>
          <w:szCs w:val="24"/>
        </w:rPr>
        <w:t xml:space="preserve">-consults </w:t>
      </w:r>
      <w:r w:rsidR="0067158B">
        <w:rPr>
          <w:rFonts w:cs="Calibri"/>
          <w:sz w:val="24"/>
          <w:szCs w:val="24"/>
        </w:rPr>
        <w:t>shall</w:t>
      </w:r>
      <w:r w:rsidRPr="00F878D0">
        <w:rPr>
          <w:rFonts w:cs="Calibri"/>
          <w:sz w:val="24"/>
          <w:szCs w:val="24"/>
        </w:rPr>
        <w:t xml:space="preserve"> be available to clinical staff within the practice to discuss with specialists in at least three distinct and non-redundant American Board of Medical Specialties (ABMS)-recognized specialties. For example, offering e-consults to multiple specialties with board certification under the pathways of Internal Medicine, such as cardiology, endocrinology, and nephrology meets this requirement. On the other hand, multiple specialties with certification under a shared subspecialty would be considered redundant; for example, seeking to count e-consults in general cardiology, clinical cardiac electrophysiology, and interventional cardiology as three distinct specialties would not meet this requirement.</w:t>
      </w:r>
    </w:p>
    <w:p w14:paraId="7E10FCB0" w14:textId="59EAB724" w:rsidR="00F878D0" w:rsidRPr="00F878D0" w:rsidRDefault="30748D73" w:rsidP="00BA3B92">
      <w:pPr>
        <w:numPr>
          <w:ilvl w:val="0"/>
          <w:numId w:val="5"/>
        </w:numPr>
        <w:spacing w:before="120" w:after="120"/>
        <w:ind w:left="1080"/>
        <w:rPr>
          <w:rFonts w:cs="Calibri"/>
          <w:sz w:val="24"/>
          <w:szCs w:val="24"/>
        </w:rPr>
      </w:pPr>
      <w:r w:rsidRPr="36AF73CC">
        <w:rPr>
          <w:rFonts w:cs="Calibri"/>
          <w:sz w:val="24"/>
          <w:szCs w:val="24"/>
        </w:rPr>
        <w:t>After-hours or weekend session: offer at least four hours for in-person or telehealth visits with regular practice providers at least once per week during any of the following periods:</w:t>
      </w:r>
    </w:p>
    <w:p w14:paraId="57922EF6" w14:textId="02E8B777" w:rsidR="00F878D0" w:rsidRPr="00BB6C28" w:rsidRDefault="00F878D0" w:rsidP="36AF73CC">
      <w:pPr>
        <w:numPr>
          <w:ilvl w:val="1"/>
          <w:numId w:val="5"/>
        </w:numPr>
        <w:ind w:left="1800"/>
        <w:rPr>
          <w:rFonts w:asciiTheme="minorHAnsi" w:eastAsiaTheme="minorEastAsia" w:hAnsiTheme="minorHAnsi" w:cstheme="minorBidi"/>
          <w:sz w:val="24"/>
          <w:szCs w:val="24"/>
        </w:rPr>
      </w:pPr>
      <w:r w:rsidRPr="36AF73CC">
        <w:rPr>
          <w:rFonts w:cs="Calibri"/>
          <w:sz w:val="24"/>
          <w:szCs w:val="24"/>
        </w:rPr>
        <w:t>Monday through Friday: Outside the hours of 8</w:t>
      </w:r>
      <w:r w:rsidR="00CE4871" w:rsidRPr="36AF73CC">
        <w:rPr>
          <w:rFonts w:cs="Calibri"/>
          <w:sz w:val="24"/>
          <w:szCs w:val="24"/>
        </w:rPr>
        <w:t xml:space="preserve">:00 </w:t>
      </w:r>
      <w:r w:rsidR="00876C1B">
        <w:rPr>
          <w:rFonts w:cs="Calibri"/>
          <w:sz w:val="24"/>
          <w:szCs w:val="24"/>
        </w:rPr>
        <w:t>a</w:t>
      </w:r>
      <w:r w:rsidR="00CE4871" w:rsidRPr="36AF73CC">
        <w:rPr>
          <w:rFonts w:cs="Calibri"/>
          <w:sz w:val="24"/>
          <w:szCs w:val="24"/>
        </w:rPr>
        <w:t>.</w:t>
      </w:r>
      <w:r w:rsidRPr="36AF73CC">
        <w:rPr>
          <w:rFonts w:cs="Calibri"/>
          <w:sz w:val="24"/>
          <w:szCs w:val="24"/>
        </w:rPr>
        <w:t>m</w:t>
      </w:r>
      <w:r w:rsidR="00CE4871" w:rsidRPr="36AF73CC">
        <w:rPr>
          <w:rFonts w:cs="Calibri"/>
          <w:sz w:val="24"/>
          <w:szCs w:val="24"/>
        </w:rPr>
        <w:t>.</w:t>
      </w:r>
      <w:r w:rsidRPr="36AF73CC">
        <w:rPr>
          <w:rFonts w:cs="Calibri"/>
          <w:sz w:val="24"/>
          <w:szCs w:val="24"/>
        </w:rPr>
        <w:t>-5</w:t>
      </w:r>
      <w:r w:rsidR="00CE4871" w:rsidRPr="36AF73CC">
        <w:rPr>
          <w:rFonts w:cs="Calibri"/>
          <w:sz w:val="24"/>
          <w:szCs w:val="24"/>
        </w:rPr>
        <w:t xml:space="preserve">:00 </w:t>
      </w:r>
      <w:r w:rsidRPr="36AF73CC">
        <w:rPr>
          <w:rFonts w:cs="Calibri"/>
          <w:sz w:val="24"/>
          <w:szCs w:val="24"/>
        </w:rPr>
        <w:t>p</w:t>
      </w:r>
      <w:r w:rsidR="00CE4871" w:rsidRPr="36AF73CC">
        <w:rPr>
          <w:rFonts w:cs="Calibri"/>
          <w:sz w:val="24"/>
          <w:szCs w:val="24"/>
        </w:rPr>
        <w:t>.</w:t>
      </w:r>
      <w:r w:rsidRPr="36AF73CC">
        <w:rPr>
          <w:rFonts w:cs="Calibri"/>
          <w:sz w:val="24"/>
          <w:szCs w:val="24"/>
        </w:rPr>
        <w:t>m</w:t>
      </w:r>
      <w:r w:rsidR="00CE4871" w:rsidRPr="36AF73CC">
        <w:rPr>
          <w:rFonts w:cs="Calibri"/>
          <w:sz w:val="24"/>
          <w:szCs w:val="24"/>
        </w:rPr>
        <w:t>.</w:t>
      </w:r>
      <w:r w:rsidRPr="36AF73CC">
        <w:rPr>
          <w:rFonts w:cs="Calibri"/>
          <w:sz w:val="24"/>
          <w:szCs w:val="24"/>
        </w:rPr>
        <w:t xml:space="preserve"> Saturday or Sunday: During any period of at least four hours</w:t>
      </w:r>
    </w:p>
    <w:p w14:paraId="1E2086AF" w14:textId="61C860A0" w:rsidR="00F878D0" w:rsidRPr="00F878D0" w:rsidRDefault="4680086B" w:rsidP="00905A59">
      <w:pPr>
        <w:pStyle w:val="ListParagraph"/>
        <w:spacing w:before="120" w:after="240"/>
        <w:ind w:left="1080"/>
        <w:rPr>
          <w:rFonts w:cs="Calibri"/>
          <w:sz w:val="24"/>
          <w:szCs w:val="24"/>
        </w:rPr>
      </w:pPr>
      <w:r w:rsidRPr="36AF73CC">
        <w:rPr>
          <w:rFonts w:cs="Calibri"/>
          <w:sz w:val="24"/>
          <w:szCs w:val="24"/>
        </w:rPr>
        <w:t>Sessions cannot be those offered by a third-party or a group unaffiliated with the primary care practice, its EHR, or its patient population. The required after-hours or weekend session shall provide behavioral health referral with bi-directional communication, tracking, and monitoring.</w:t>
      </w:r>
    </w:p>
    <w:p w14:paraId="222A4A94" w14:textId="6E569DC6" w:rsidR="00F878D0" w:rsidRPr="00F878D0" w:rsidRDefault="00F878D0" w:rsidP="00BA3B92">
      <w:pPr>
        <w:numPr>
          <w:ilvl w:val="0"/>
          <w:numId w:val="5"/>
        </w:numPr>
        <w:spacing w:before="120" w:after="120"/>
        <w:ind w:left="1080"/>
        <w:rPr>
          <w:rFonts w:cs="Calibri"/>
          <w:sz w:val="24"/>
          <w:szCs w:val="24"/>
        </w:rPr>
      </w:pPr>
      <w:r w:rsidRPr="00F878D0">
        <w:rPr>
          <w:rFonts w:cs="Calibri"/>
          <w:sz w:val="24"/>
          <w:szCs w:val="24"/>
        </w:rPr>
        <w:t xml:space="preserve">Team-based staff role: maintain at least one (1) team-based staff role dedicated to the specific primary care site. This role may </w:t>
      </w:r>
      <w:r w:rsidR="00762F97">
        <w:rPr>
          <w:rFonts w:cs="Calibri"/>
          <w:sz w:val="24"/>
          <w:szCs w:val="24"/>
        </w:rPr>
        <w:t xml:space="preserve">conduct a portion of its activities virtually, and shall </w:t>
      </w:r>
      <w:r w:rsidRPr="00F878D0">
        <w:rPr>
          <w:rFonts w:cs="Calibri"/>
          <w:sz w:val="24"/>
          <w:szCs w:val="24"/>
        </w:rPr>
        <w:t>consist of any of the following or similar roles:</w:t>
      </w:r>
    </w:p>
    <w:p w14:paraId="4B7BD36D" w14:textId="77777777" w:rsidR="00F878D0" w:rsidRPr="00F878D0" w:rsidRDefault="00F878D0" w:rsidP="00BA3B92">
      <w:pPr>
        <w:numPr>
          <w:ilvl w:val="1"/>
          <w:numId w:val="5"/>
        </w:numPr>
        <w:ind w:left="1800"/>
        <w:rPr>
          <w:rFonts w:cs="Calibri"/>
          <w:sz w:val="24"/>
          <w:szCs w:val="24"/>
        </w:rPr>
      </w:pPr>
      <w:r w:rsidRPr="00F878D0">
        <w:rPr>
          <w:rFonts w:cs="Calibri"/>
          <w:sz w:val="24"/>
          <w:szCs w:val="24"/>
        </w:rPr>
        <w:t>Community health worker (CHW)</w:t>
      </w:r>
    </w:p>
    <w:p w14:paraId="686AD742" w14:textId="77777777" w:rsidR="00F878D0" w:rsidRPr="00F878D0" w:rsidRDefault="00F878D0" w:rsidP="00BA3B92">
      <w:pPr>
        <w:numPr>
          <w:ilvl w:val="1"/>
          <w:numId w:val="5"/>
        </w:numPr>
        <w:ind w:left="1800"/>
        <w:rPr>
          <w:rFonts w:cs="Calibri"/>
          <w:sz w:val="24"/>
          <w:szCs w:val="24"/>
        </w:rPr>
      </w:pPr>
      <w:r w:rsidRPr="00F878D0">
        <w:rPr>
          <w:rFonts w:cs="Calibri"/>
          <w:sz w:val="24"/>
          <w:szCs w:val="24"/>
        </w:rPr>
        <w:t>Peer (Certified Peer Specialist, Recovery Coach, Family Partner, Family Navigator)</w:t>
      </w:r>
    </w:p>
    <w:p w14:paraId="65D0F6EF" w14:textId="77777777" w:rsidR="00F878D0" w:rsidRPr="00F878D0" w:rsidRDefault="00F878D0" w:rsidP="00BA3B92">
      <w:pPr>
        <w:numPr>
          <w:ilvl w:val="1"/>
          <w:numId w:val="5"/>
        </w:numPr>
        <w:ind w:left="1800"/>
        <w:rPr>
          <w:rFonts w:cs="Calibri"/>
          <w:sz w:val="24"/>
          <w:szCs w:val="24"/>
        </w:rPr>
      </w:pPr>
      <w:r w:rsidRPr="00F878D0">
        <w:rPr>
          <w:rFonts w:cs="Calibri"/>
          <w:sz w:val="24"/>
          <w:szCs w:val="24"/>
        </w:rPr>
        <w:lastRenderedPageBreak/>
        <w:t>Social worker (licensed clinical social worker [LCSW], LICSW) or other master’s-prepared clinician such as a Master of Social Work (MSW)</w:t>
      </w:r>
    </w:p>
    <w:p w14:paraId="1C9E279C" w14:textId="7BF76B0D" w:rsidR="00F878D0" w:rsidRDefault="00F878D0" w:rsidP="00BA3B92">
      <w:pPr>
        <w:numPr>
          <w:ilvl w:val="1"/>
          <w:numId w:val="5"/>
        </w:numPr>
        <w:ind w:left="1800"/>
        <w:rPr>
          <w:rFonts w:cs="Calibri"/>
          <w:sz w:val="24"/>
          <w:szCs w:val="24"/>
        </w:rPr>
      </w:pPr>
      <w:r w:rsidRPr="00F878D0">
        <w:rPr>
          <w:rFonts w:cs="Calibri"/>
          <w:sz w:val="24"/>
          <w:szCs w:val="24"/>
        </w:rPr>
        <w:t>Nurse case manager</w:t>
      </w:r>
    </w:p>
    <w:p w14:paraId="7A625E04" w14:textId="11509C9A" w:rsidR="00F878D0" w:rsidRPr="00F878D0" w:rsidRDefault="0067158B" w:rsidP="002D7C86">
      <w:pPr>
        <w:spacing w:before="120" w:after="120"/>
        <w:ind w:left="1080"/>
        <w:rPr>
          <w:rFonts w:cs="Calibri"/>
          <w:sz w:val="24"/>
          <w:szCs w:val="24"/>
        </w:rPr>
      </w:pPr>
      <w:r>
        <w:rPr>
          <w:rFonts w:cs="Calibri"/>
          <w:sz w:val="24"/>
          <w:szCs w:val="24"/>
        </w:rPr>
        <w:t>Such</w:t>
      </w:r>
      <w:r w:rsidR="00F878D0" w:rsidRPr="00F878D0">
        <w:rPr>
          <w:rFonts w:cs="Calibri"/>
          <w:sz w:val="24"/>
          <w:szCs w:val="24"/>
        </w:rPr>
        <w:t xml:space="preserve"> team-based role</w:t>
      </w:r>
      <w:r>
        <w:rPr>
          <w:rFonts w:cs="Calibri"/>
          <w:sz w:val="24"/>
          <w:szCs w:val="24"/>
        </w:rPr>
        <w:t xml:space="preserve"> shall</w:t>
      </w:r>
      <w:r w:rsidR="00F878D0" w:rsidRPr="00F878D0">
        <w:rPr>
          <w:rFonts w:cs="Calibri"/>
          <w:sz w:val="24"/>
          <w:szCs w:val="24"/>
        </w:rPr>
        <w:t xml:space="preserve">: </w:t>
      </w:r>
    </w:p>
    <w:p w14:paraId="0DF61393" w14:textId="77777777" w:rsidR="00762F97" w:rsidRDefault="0067158B" w:rsidP="00BA3B92">
      <w:pPr>
        <w:numPr>
          <w:ilvl w:val="1"/>
          <w:numId w:val="5"/>
        </w:numPr>
        <w:ind w:left="1800"/>
        <w:rPr>
          <w:rFonts w:cs="Calibri"/>
          <w:sz w:val="24"/>
          <w:szCs w:val="24"/>
        </w:rPr>
      </w:pPr>
      <w:r>
        <w:rPr>
          <w:rFonts w:cs="Calibri"/>
          <w:sz w:val="24"/>
          <w:szCs w:val="24"/>
        </w:rPr>
        <w:t>B</w:t>
      </w:r>
      <w:r w:rsidR="00F878D0" w:rsidRPr="00F878D0">
        <w:rPr>
          <w:rFonts w:cs="Calibri"/>
          <w:sz w:val="24"/>
          <w:szCs w:val="24"/>
        </w:rPr>
        <w:t xml:space="preserve">e available and doing work on behalf of the specific practice site for at least three or more equivalent 4-hour sessions (i.e., </w:t>
      </w:r>
      <w:r w:rsidR="00F878D0" w:rsidRPr="00F878D0">
        <w:rPr>
          <w:rFonts w:cs="Calibri"/>
          <w:sz w:val="24"/>
          <w:szCs w:val="24"/>
          <w:u w:val="single"/>
        </w:rPr>
        <w:t>&gt;</w:t>
      </w:r>
      <w:r w:rsidR="00F878D0" w:rsidRPr="00F878D0">
        <w:rPr>
          <w:rFonts w:cs="Calibri"/>
          <w:sz w:val="24"/>
          <w:szCs w:val="24"/>
        </w:rPr>
        <w:t xml:space="preserve">0.3 FTE) per week, </w:t>
      </w:r>
    </w:p>
    <w:p w14:paraId="2ABDB132" w14:textId="5026E20E" w:rsidR="00F878D0" w:rsidRPr="00F878D0" w:rsidRDefault="00762F97" w:rsidP="00BA3B92">
      <w:pPr>
        <w:numPr>
          <w:ilvl w:val="1"/>
          <w:numId w:val="5"/>
        </w:numPr>
        <w:ind w:left="1800"/>
        <w:rPr>
          <w:rFonts w:cs="Calibri"/>
          <w:sz w:val="24"/>
          <w:szCs w:val="24"/>
        </w:rPr>
      </w:pPr>
      <w:r>
        <w:rPr>
          <w:rFonts w:cs="Calibri"/>
          <w:sz w:val="24"/>
          <w:szCs w:val="24"/>
        </w:rPr>
        <w:t xml:space="preserve">Conduct </w:t>
      </w:r>
      <w:r w:rsidR="00F878D0" w:rsidRPr="00F878D0">
        <w:rPr>
          <w:rFonts w:cs="Calibri"/>
          <w:sz w:val="24"/>
          <w:szCs w:val="24"/>
        </w:rPr>
        <w:t xml:space="preserve">activities such as </w:t>
      </w:r>
      <w:r>
        <w:rPr>
          <w:rFonts w:cs="Calibri"/>
          <w:sz w:val="24"/>
          <w:szCs w:val="24"/>
        </w:rPr>
        <w:t xml:space="preserve">but not limited to </w:t>
      </w:r>
      <w:r w:rsidR="00F878D0" w:rsidRPr="00F878D0">
        <w:rPr>
          <w:rFonts w:cs="Calibri"/>
          <w:sz w:val="24"/>
          <w:szCs w:val="24"/>
        </w:rPr>
        <w:t>team-based huddles, activities on behalf of patients at the site, or patient-facing activities.</w:t>
      </w:r>
    </w:p>
    <w:p w14:paraId="1E96FAA0" w14:textId="36FFB5A6" w:rsidR="00F878D0" w:rsidRDefault="00762F97" w:rsidP="00BA3B92">
      <w:pPr>
        <w:numPr>
          <w:ilvl w:val="1"/>
          <w:numId w:val="5"/>
        </w:numPr>
        <w:spacing w:after="240"/>
        <w:ind w:left="1800"/>
        <w:rPr>
          <w:rFonts w:cs="Calibri"/>
          <w:sz w:val="24"/>
          <w:szCs w:val="24"/>
        </w:rPr>
      </w:pPr>
      <w:r>
        <w:rPr>
          <w:rFonts w:cs="Calibri"/>
          <w:sz w:val="24"/>
          <w:szCs w:val="24"/>
        </w:rPr>
        <w:t>P</w:t>
      </w:r>
      <w:r w:rsidR="00F878D0" w:rsidRPr="00F878D0">
        <w:rPr>
          <w:rFonts w:cs="Calibri"/>
          <w:sz w:val="24"/>
          <w:szCs w:val="24"/>
        </w:rPr>
        <w:t xml:space="preserve">articipate in team activities such as team huddles, i.e., standing team meetings for the purpose of pre-visit planning, population health management, process improvement, etc. </w:t>
      </w:r>
    </w:p>
    <w:p w14:paraId="6DB0A10A" w14:textId="065702AF" w:rsidR="00F878D0" w:rsidRPr="00BB6C28" w:rsidRDefault="00F878D0" w:rsidP="00BB6C28">
      <w:pPr>
        <w:pStyle w:val="ListParagraph"/>
        <w:numPr>
          <w:ilvl w:val="0"/>
          <w:numId w:val="5"/>
        </w:numPr>
        <w:spacing w:before="120" w:after="240"/>
        <w:rPr>
          <w:rFonts w:asciiTheme="minorHAnsi" w:hAnsiTheme="minorHAnsi"/>
          <w:sz w:val="24"/>
        </w:rPr>
      </w:pPr>
      <w:r w:rsidRPr="09F67852">
        <w:rPr>
          <w:rFonts w:cs="Calibri"/>
          <w:sz w:val="24"/>
          <w:szCs w:val="24"/>
        </w:rPr>
        <w:t xml:space="preserve">Maintain a consulting independent BH clinician: maintain a dedicated and accessible consulting BH clinician available to assist the practice with cases of moderate complexity. This role </w:t>
      </w:r>
      <w:r w:rsidR="00762F97" w:rsidRPr="09F67852">
        <w:rPr>
          <w:rFonts w:cs="Calibri"/>
          <w:sz w:val="24"/>
          <w:szCs w:val="24"/>
        </w:rPr>
        <w:t>shall be a licensed BH provider,</w:t>
      </w:r>
      <w:r w:rsidRPr="09F67852">
        <w:rPr>
          <w:rFonts w:cs="Calibri"/>
          <w:sz w:val="24"/>
          <w:szCs w:val="24"/>
        </w:rPr>
        <w:t xml:space="preserve"> such as a psychiatrist, psychologist, psychiatric clinical nurse practitioner, LICSW, licensed mental health counselor (LMHC), or licensed marriage and family therapist (LMFT). This requirement may be fulfilled via a single role fulfilling both this requirement and the team-based staff role requirement above. </w:t>
      </w:r>
    </w:p>
    <w:p w14:paraId="2C1F0155" w14:textId="29BA6667" w:rsidR="00F878D0" w:rsidRPr="00F878D0" w:rsidRDefault="00F878D0" w:rsidP="00BA3B92">
      <w:pPr>
        <w:numPr>
          <w:ilvl w:val="1"/>
          <w:numId w:val="5"/>
        </w:numPr>
        <w:ind w:left="1800"/>
        <w:rPr>
          <w:rFonts w:eastAsiaTheme="minorEastAsia" w:cs="Calibri"/>
          <w:sz w:val="24"/>
          <w:szCs w:val="24"/>
        </w:rPr>
      </w:pPr>
      <w:r w:rsidRPr="00F878D0">
        <w:rPr>
          <w:rFonts w:cs="Calibri"/>
          <w:sz w:val="24"/>
          <w:szCs w:val="24"/>
        </w:rPr>
        <w:t xml:space="preserve">This resource </w:t>
      </w:r>
      <w:r w:rsidR="00762F97">
        <w:rPr>
          <w:rFonts w:cs="Calibri"/>
          <w:sz w:val="24"/>
          <w:szCs w:val="24"/>
        </w:rPr>
        <w:t>shall</w:t>
      </w:r>
      <w:r w:rsidRPr="00F878D0">
        <w:rPr>
          <w:rFonts w:cs="Calibri"/>
          <w:sz w:val="24"/>
          <w:szCs w:val="24"/>
        </w:rPr>
        <w:t xml:space="preserve"> be available to assist the practice with cases of moderate BH complexity on a regular basis and assist with co-management of referred cases that can otherwise remain anchored in the primary care setting. Where feasible, this resource </w:t>
      </w:r>
      <w:r w:rsidR="00762F97">
        <w:rPr>
          <w:rFonts w:cs="Calibri"/>
          <w:sz w:val="24"/>
          <w:szCs w:val="24"/>
        </w:rPr>
        <w:t>shall</w:t>
      </w:r>
      <w:r w:rsidRPr="00F878D0">
        <w:rPr>
          <w:rFonts w:cs="Calibri"/>
          <w:sz w:val="24"/>
          <w:szCs w:val="24"/>
        </w:rPr>
        <w:t xml:space="preserve"> also be available for team-based huddles and warm-handoffs to support patient care.</w:t>
      </w:r>
    </w:p>
    <w:p w14:paraId="7C242D7B" w14:textId="4B5431F9" w:rsidR="00FE5AB9" w:rsidRPr="005741B1" w:rsidRDefault="00F878D0" w:rsidP="005741B1">
      <w:pPr>
        <w:numPr>
          <w:ilvl w:val="1"/>
          <w:numId w:val="5"/>
        </w:numPr>
        <w:spacing w:after="240"/>
        <w:ind w:left="1800"/>
        <w:rPr>
          <w:rFonts w:cs="Calibri"/>
          <w:sz w:val="24"/>
          <w:szCs w:val="24"/>
        </w:rPr>
      </w:pPr>
      <w:r w:rsidRPr="09F67852">
        <w:rPr>
          <w:rFonts w:cs="Calibri"/>
          <w:sz w:val="24"/>
          <w:szCs w:val="24"/>
        </w:rPr>
        <w:t xml:space="preserve">This resource </w:t>
      </w:r>
      <w:r w:rsidR="00762F97" w:rsidRPr="09F67852">
        <w:rPr>
          <w:rFonts w:cs="Calibri"/>
          <w:sz w:val="24"/>
          <w:szCs w:val="24"/>
        </w:rPr>
        <w:t>may</w:t>
      </w:r>
      <w:r w:rsidRPr="09F67852">
        <w:rPr>
          <w:rFonts w:cs="Calibri"/>
          <w:sz w:val="24"/>
          <w:szCs w:val="24"/>
        </w:rPr>
        <w:t xml:space="preserve"> be virtually available to the practice and can utilize asynchronous means of communication inclusive of e-consult but </w:t>
      </w:r>
      <w:r w:rsidR="00762F97" w:rsidRPr="09F67852">
        <w:rPr>
          <w:rFonts w:cs="Calibri"/>
          <w:sz w:val="24"/>
          <w:szCs w:val="24"/>
        </w:rPr>
        <w:t>shall</w:t>
      </w:r>
      <w:r w:rsidRPr="09F67852">
        <w:rPr>
          <w:rFonts w:cs="Calibri"/>
          <w:sz w:val="24"/>
          <w:szCs w:val="24"/>
        </w:rPr>
        <w:t xml:space="preserve"> be able to respond to queries within two business days. </w:t>
      </w:r>
    </w:p>
    <w:p w14:paraId="25C5B4E1" w14:textId="7BCA9421" w:rsidR="00F878D0" w:rsidRPr="00093B9E" w:rsidRDefault="00F878D0" w:rsidP="00BA3B92">
      <w:pPr>
        <w:pStyle w:val="ListParagraph"/>
        <w:numPr>
          <w:ilvl w:val="0"/>
          <w:numId w:val="21"/>
        </w:numPr>
        <w:spacing w:before="120" w:after="120"/>
        <w:rPr>
          <w:b/>
          <w:bCs/>
          <w:sz w:val="24"/>
          <w:szCs w:val="24"/>
        </w:rPr>
      </w:pPr>
      <w:r w:rsidRPr="00093B9E">
        <w:rPr>
          <w:b/>
          <w:bCs/>
          <w:sz w:val="24"/>
          <w:szCs w:val="24"/>
        </w:rPr>
        <w:t xml:space="preserve">Population Specific Expectations </w:t>
      </w:r>
    </w:p>
    <w:p w14:paraId="7E9D1834" w14:textId="2A98D87F" w:rsidR="001371E9" w:rsidRPr="001371E9" w:rsidRDefault="001371E9" w:rsidP="00BA3B92">
      <w:pPr>
        <w:spacing w:before="120" w:after="120"/>
        <w:ind w:left="360"/>
        <w:rPr>
          <w:rFonts w:cs="Calibri"/>
          <w:i/>
          <w:sz w:val="24"/>
          <w:szCs w:val="24"/>
        </w:rPr>
      </w:pPr>
      <w:r w:rsidRPr="001371E9">
        <w:rPr>
          <w:rFonts w:cs="Calibri"/>
          <w:i/>
          <w:sz w:val="24"/>
          <w:szCs w:val="24"/>
        </w:rPr>
        <w:t xml:space="preserve">Practices serving Enrollees </w:t>
      </w:r>
      <w:r w:rsidRPr="001371E9">
        <w:rPr>
          <w:rFonts w:cs="Calibri"/>
          <w:i/>
          <w:iCs/>
          <w:sz w:val="24"/>
          <w:szCs w:val="24"/>
        </w:rPr>
        <w:t xml:space="preserve">21 </w:t>
      </w:r>
      <w:r w:rsidRPr="001371E9">
        <w:rPr>
          <w:rFonts w:cs="Calibri"/>
          <w:i/>
          <w:sz w:val="24"/>
          <w:szCs w:val="24"/>
        </w:rPr>
        <w:t xml:space="preserve">years </w:t>
      </w:r>
      <w:r w:rsidRPr="001371E9">
        <w:rPr>
          <w:rFonts w:cs="Calibri"/>
          <w:i/>
          <w:iCs/>
          <w:sz w:val="24"/>
          <w:szCs w:val="24"/>
        </w:rPr>
        <w:t>of</w:t>
      </w:r>
      <w:r w:rsidRPr="001371E9">
        <w:rPr>
          <w:rFonts w:cs="Calibri"/>
          <w:i/>
          <w:sz w:val="24"/>
          <w:szCs w:val="24"/>
        </w:rPr>
        <w:t xml:space="preserve"> age or younger shall:</w:t>
      </w:r>
    </w:p>
    <w:p w14:paraId="02B86230" w14:textId="195E8852" w:rsidR="00F878D0" w:rsidRPr="00824443" w:rsidRDefault="000BF0A5" w:rsidP="00BA3B92">
      <w:pPr>
        <w:numPr>
          <w:ilvl w:val="0"/>
          <w:numId w:val="6"/>
        </w:numPr>
        <w:spacing w:before="120" w:after="240"/>
        <w:ind w:left="1080"/>
        <w:rPr>
          <w:rFonts w:cs="Calibri"/>
          <w:sz w:val="24"/>
          <w:szCs w:val="24"/>
        </w:rPr>
      </w:pPr>
      <w:r w:rsidRPr="6D7F93B9">
        <w:rPr>
          <w:rFonts w:cs="Calibri"/>
          <w:sz w:val="24"/>
          <w:szCs w:val="24"/>
        </w:rPr>
        <w:t>On-site staff with children, youth, and family-specific expertise: identify at least one on-site non-clinic</w:t>
      </w:r>
      <w:r w:rsidR="59DDD506" w:rsidRPr="6D7F93B9">
        <w:rPr>
          <w:rFonts w:cs="Calibri"/>
          <w:sz w:val="24"/>
          <w:szCs w:val="24"/>
        </w:rPr>
        <w:t>al</w:t>
      </w:r>
      <w:r w:rsidRPr="6D7F93B9">
        <w:rPr>
          <w:rFonts w:cs="Calibri"/>
          <w:sz w:val="24"/>
          <w:szCs w:val="24"/>
        </w:rPr>
        <w:t xml:space="preserve"> team member with demonstrable experience addressing the BH and HRSN of children, youth, and families in a health care setting and/or possessing specialized training, degree, licensing, or certification in such work. This role </w:t>
      </w:r>
      <w:r w:rsidR="2DF9C35F" w:rsidRPr="6D7F93B9">
        <w:rPr>
          <w:rFonts w:cs="Calibri"/>
          <w:sz w:val="24"/>
          <w:szCs w:val="24"/>
        </w:rPr>
        <w:t>shall</w:t>
      </w:r>
      <w:r w:rsidRPr="6D7F93B9">
        <w:rPr>
          <w:rFonts w:cs="Calibri"/>
          <w:sz w:val="24"/>
          <w:szCs w:val="24"/>
        </w:rPr>
        <w:t xml:space="preserve"> be on-site full-time or part-time. This role(s) </w:t>
      </w:r>
      <w:r w:rsidR="2DF9C35F" w:rsidRPr="6D7F93B9">
        <w:rPr>
          <w:rFonts w:cs="Calibri"/>
          <w:sz w:val="24"/>
          <w:szCs w:val="24"/>
        </w:rPr>
        <w:t>shall be</w:t>
      </w:r>
      <w:r w:rsidRPr="6D7F93B9">
        <w:rPr>
          <w:rFonts w:cs="Calibri"/>
          <w:sz w:val="24"/>
          <w:szCs w:val="24"/>
        </w:rPr>
        <w:t xml:space="preserve"> responsible for communicating with and being the site’s primary and reliable point of contact to the CBHI program, Family Resource Centers (FRCs), and schools/early childhood settings.</w:t>
      </w:r>
    </w:p>
    <w:p w14:paraId="43474C60" w14:textId="3043694C" w:rsidR="00F878D0" w:rsidRPr="00BB6C28" w:rsidRDefault="24EEFC05" w:rsidP="36AF73CC">
      <w:pPr>
        <w:numPr>
          <w:ilvl w:val="0"/>
          <w:numId w:val="6"/>
        </w:numPr>
        <w:spacing w:before="120" w:after="240"/>
        <w:ind w:left="1080"/>
        <w:rPr>
          <w:rFonts w:asciiTheme="minorHAnsi" w:hAnsiTheme="minorHAnsi"/>
          <w:color w:val="141414"/>
          <w:sz w:val="24"/>
          <w:szCs w:val="24"/>
        </w:rPr>
      </w:pPr>
      <w:r w:rsidRPr="2D958F85">
        <w:rPr>
          <w:rFonts w:cs="Calibri"/>
          <w:color w:val="141414"/>
          <w:sz w:val="24"/>
          <w:szCs w:val="24"/>
        </w:rPr>
        <w:t>P</w:t>
      </w:r>
      <w:r w:rsidR="00F878D0" w:rsidRPr="2D958F85">
        <w:rPr>
          <w:rFonts w:cs="Calibri"/>
          <w:color w:val="141414"/>
          <w:sz w:val="24"/>
          <w:szCs w:val="24"/>
        </w:rPr>
        <w:t xml:space="preserve">rovide patients and their families who are eligible for SNAP and </w:t>
      </w:r>
      <w:hyperlink r:id="rId28">
        <w:r w:rsidR="733EE326" w:rsidRPr="2D958F85">
          <w:rPr>
            <w:rFonts w:cs="Calibri"/>
            <w:sz w:val="24"/>
            <w:szCs w:val="24"/>
          </w:rPr>
          <w:t>WIC application</w:t>
        </w:r>
      </w:hyperlink>
      <w:r w:rsidR="00F878D0" w:rsidRPr="2D958F85">
        <w:rPr>
          <w:rStyle w:val="Hyperlink"/>
          <w:rFonts w:cs="Calibri"/>
          <w:color w:val="4472C4" w:themeColor="accent1"/>
          <w:sz w:val="24"/>
          <w:szCs w:val="24"/>
        </w:rPr>
        <w:t xml:space="preserve"> </w:t>
      </w:r>
      <w:r w:rsidR="00F878D0" w:rsidRPr="2D958F85">
        <w:rPr>
          <w:rStyle w:val="Hyperlink"/>
          <w:rFonts w:cs="Calibri"/>
          <w:sz w:val="24"/>
          <w:szCs w:val="24"/>
        </w:rPr>
        <w:t xml:space="preserve">assistance </w:t>
      </w:r>
      <w:r w:rsidR="00F878D0" w:rsidRPr="2D958F85">
        <w:rPr>
          <w:rStyle w:val="Hyperlink"/>
          <w:rFonts w:cs="Calibri"/>
          <w:color w:val="000000" w:themeColor="text1"/>
          <w:sz w:val="24"/>
          <w:szCs w:val="24"/>
          <w:u w:val="none"/>
        </w:rPr>
        <w:t xml:space="preserve">through the practice </w:t>
      </w:r>
      <w:proofErr w:type="gramStart"/>
      <w:r w:rsidR="00F878D0" w:rsidRPr="2D958F85">
        <w:rPr>
          <w:rStyle w:val="Hyperlink"/>
          <w:rFonts w:cs="Calibri"/>
          <w:color w:val="000000" w:themeColor="text1"/>
          <w:sz w:val="24"/>
          <w:szCs w:val="24"/>
          <w:u w:val="none"/>
        </w:rPr>
        <w:t>in order to</w:t>
      </w:r>
      <w:proofErr w:type="gramEnd"/>
      <w:r w:rsidR="00F878D0" w:rsidRPr="2D958F85">
        <w:rPr>
          <w:rStyle w:val="Hyperlink"/>
          <w:rFonts w:cs="Calibri"/>
          <w:color w:val="000000" w:themeColor="text1"/>
          <w:sz w:val="24"/>
          <w:szCs w:val="24"/>
          <w:u w:val="none"/>
        </w:rPr>
        <w:t xml:space="preserve"> assist patients and their families to apply for and engage those programs.</w:t>
      </w:r>
      <w:r w:rsidR="6F9D517F" w:rsidRPr="2D958F85">
        <w:rPr>
          <w:rStyle w:val="Hyperlink"/>
          <w:rFonts w:cs="Calibri"/>
          <w:color w:val="000000" w:themeColor="text1"/>
          <w:sz w:val="24"/>
          <w:szCs w:val="24"/>
          <w:u w:val="none"/>
        </w:rPr>
        <w:t xml:space="preserve"> </w:t>
      </w:r>
      <w:r w:rsidR="26128065" w:rsidRPr="2D958F85">
        <w:rPr>
          <w:rFonts w:cs="Calibri"/>
          <w:sz w:val="24"/>
          <w:szCs w:val="24"/>
        </w:rPr>
        <w:t>While practices may offer some assistance virtually,</w:t>
      </w:r>
      <w:r w:rsidR="09F67852" w:rsidRPr="2D958F85">
        <w:rPr>
          <w:rFonts w:cs="Calibri"/>
          <w:sz w:val="24"/>
          <w:szCs w:val="24"/>
        </w:rPr>
        <w:t xml:space="preserve"> </w:t>
      </w:r>
      <w:r w:rsidR="6F9D517F" w:rsidRPr="2D958F85">
        <w:rPr>
          <w:rFonts w:cs="Calibri"/>
          <w:sz w:val="24"/>
          <w:szCs w:val="24"/>
        </w:rPr>
        <w:t>Enrollees must be able to access this requirement on-site.</w:t>
      </w:r>
    </w:p>
    <w:p w14:paraId="2A6A6660" w14:textId="2AB284E2" w:rsidR="00F878D0" w:rsidRPr="00BB6C28" w:rsidRDefault="00F878D0" w:rsidP="36AF73CC">
      <w:pPr>
        <w:numPr>
          <w:ilvl w:val="0"/>
          <w:numId w:val="6"/>
        </w:numPr>
        <w:spacing w:before="120" w:after="120"/>
        <w:ind w:left="1080"/>
        <w:rPr>
          <w:rFonts w:asciiTheme="minorHAnsi" w:hAnsiTheme="minorHAnsi"/>
          <w:sz w:val="24"/>
          <w:szCs w:val="24"/>
        </w:rPr>
      </w:pPr>
      <w:r w:rsidRPr="36AF73CC">
        <w:rPr>
          <w:rFonts w:cs="Calibri"/>
          <w:sz w:val="24"/>
          <w:szCs w:val="24"/>
        </w:rPr>
        <w:t xml:space="preserve">Buprenorphine Waivered Practitioner Requirement: At least one </w:t>
      </w:r>
      <w:r w:rsidR="00646D20" w:rsidRPr="36AF73CC">
        <w:rPr>
          <w:rFonts w:cs="Calibri"/>
          <w:sz w:val="24"/>
          <w:szCs w:val="24"/>
        </w:rPr>
        <w:t xml:space="preserve">(1) </w:t>
      </w:r>
      <w:r w:rsidR="00BA6192" w:rsidRPr="36AF73CC">
        <w:rPr>
          <w:rFonts w:cs="Calibri"/>
          <w:sz w:val="24"/>
          <w:szCs w:val="24"/>
        </w:rPr>
        <w:t xml:space="preserve">individual Primary Care Provider at the practice must </w:t>
      </w:r>
      <w:r w:rsidRPr="36AF73CC">
        <w:rPr>
          <w:rFonts w:cs="Calibri"/>
          <w:sz w:val="24"/>
          <w:szCs w:val="24"/>
        </w:rPr>
        <w:t xml:space="preserve">have the capability and credentialing to prescribe </w:t>
      </w:r>
      <w:r w:rsidRPr="36AF73CC">
        <w:rPr>
          <w:rFonts w:cs="Calibri"/>
          <w:sz w:val="24"/>
          <w:szCs w:val="24"/>
        </w:rPr>
        <w:lastRenderedPageBreak/>
        <w:t xml:space="preserve">buprenorphine. </w:t>
      </w:r>
      <w:r w:rsidR="00BA6192" w:rsidRPr="36AF73CC">
        <w:rPr>
          <w:rFonts w:cs="Calibri"/>
          <w:sz w:val="24"/>
          <w:szCs w:val="24"/>
        </w:rPr>
        <w:t xml:space="preserve">This requirement can be met by prescribers either submitting the </w:t>
      </w:r>
      <w:r w:rsidR="00065515" w:rsidRPr="36AF73CC">
        <w:rPr>
          <w:rFonts w:cs="Calibri"/>
          <w:sz w:val="24"/>
          <w:szCs w:val="24"/>
        </w:rPr>
        <w:t xml:space="preserve">Substance Abuse and Mental Health Services Administration (SAMHSA) notice of intent (NOI) without additional training requirements, or via having a buprenorphine waiver. More information can be found </w:t>
      </w:r>
      <w:hyperlink r:id="rId29">
        <w:r w:rsidRPr="36AF73CC">
          <w:rPr>
            <w:rStyle w:val="Hyperlink"/>
            <w:rFonts w:cs="Calibri"/>
            <w:sz w:val="24"/>
            <w:szCs w:val="24"/>
          </w:rPr>
          <w:t>here</w:t>
        </w:r>
      </w:hyperlink>
      <w:r w:rsidRPr="36AF73CC">
        <w:rPr>
          <w:rFonts w:cs="Calibri"/>
          <w:sz w:val="24"/>
          <w:szCs w:val="24"/>
        </w:rPr>
        <w:t>.</w:t>
      </w:r>
      <w:r w:rsidR="00065515" w:rsidRPr="36AF73CC">
        <w:rPr>
          <w:rFonts w:cs="Calibri"/>
          <w:sz w:val="24"/>
          <w:szCs w:val="24"/>
        </w:rPr>
        <w:t xml:space="preserve"> The individual Primary Care provider with the </w:t>
      </w:r>
      <w:r w:rsidRPr="36AF73CC">
        <w:rPr>
          <w:rFonts w:cs="Calibri"/>
          <w:sz w:val="24"/>
          <w:szCs w:val="24"/>
        </w:rPr>
        <w:t>capability and credentialing to prescribe buprenorphine</w:t>
      </w:r>
      <w:r w:rsidR="09F67852" w:rsidRPr="36AF73CC">
        <w:rPr>
          <w:rFonts w:cs="Calibri"/>
          <w:sz w:val="24"/>
          <w:szCs w:val="24"/>
        </w:rPr>
        <w:t xml:space="preserve"> need not be </w:t>
      </w:r>
      <w:r w:rsidR="00065515" w:rsidRPr="36AF73CC">
        <w:rPr>
          <w:rFonts w:cs="Calibri"/>
          <w:sz w:val="24"/>
          <w:szCs w:val="24"/>
        </w:rPr>
        <w:t>actively prescribing buprenorphine to meet this requirement.</w:t>
      </w:r>
    </w:p>
    <w:p w14:paraId="46D6801E" w14:textId="7A779C80" w:rsidR="00F878D0" w:rsidRPr="00F878D0" w:rsidRDefault="00F878D0" w:rsidP="00BA3B92">
      <w:pPr>
        <w:pStyle w:val="ListParagraph"/>
        <w:spacing w:after="240"/>
        <w:ind w:left="1080"/>
        <w:contextualSpacing w:val="0"/>
        <w:rPr>
          <w:rFonts w:cs="Calibri"/>
          <w:sz w:val="24"/>
          <w:szCs w:val="24"/>
        </w:rPr>
      </w:pPr>
      <w:r w:rsidRPr="36AF73CC">
        <w:rPr>
          <w:rFonts w:cs="Calibri"/>
          <w:sz w:val="24"/>
          <w:szCs w:val="24"/>
        </w:rPr>
        <w:t xml:space="preserve">Providers may leverage the partnership and guidance of MCPAP for guidance on prescribing buprenorphine: </w:t>
      </w:r>
      <w:hyperlink r:id="rId30">
        <w:r w:rsidR="733EE326" w:rsidRPr="36AF73CC">
          <w:rPr>
            <w:rStyle w:val="Hyperlink"/>
            <w:rFonts w:cs="Calibri"/>
            <w:sz w:val="24"/>
            <w:szCs w:val="24"/>
          </w:rPr>
          <w:t>www.mcpap.com</w:t>
        </w:r>
      </w:hyperlink>
      <w:r w:rsidR="008B369D" w:rsidRPr="36AF73CC">
        <w:rPr>
          <w:rFonts w:cs="Calibri"/>
          <w:sz w:val="24"/>
          <w:szCs w:val="24"/>
        </w:rPr>
        <w:t xml:space="preserve">. </w:t>
      </w:r>
    </w:p>
    <w:p w14:paraId="7387AFA1" w14:textId="2980418B" w:rsidR="001371E9" w:rsidRPr="001371E9" w:rsidRDefault="001371E9" w:rsidP="00BA3B92">
      <w:pPr>
        <w:spacing w:before="120" w:after="120"/>
        <w:ind w:left="360"/>
        <w:rPr>
          <w:rFonts w:cs="Calibri"/>
          <w:i/>
          <w:sz w:val="24"/>
          <w:szCs w:val="24"/>
        </w:rPr>
      </w:pPr>
      <w:r w:rsidRPr="001371E9">
        <w:rPr>
          <w:rFonts w:cs="Calibri"/>
          <w:i/>
          <w:sz w:val="24"/>
          <w:szCs w:val="24"/>
        </w:rPr>
        <w:t>Practices serving Enrollees ages 21-65</w:t>
      </w:r>
      <w:r>
        <w:rPr>
          <w:rFonts w:cs="Calibri"/>
          <w:i/>
          <w:sz w:val="24"/>
          <w:szCs w:val="24"/>
        </w:rPr>
        <w:t xml:space="preserve"> </w:t>
      </w:r>
      <w:r w:rsidRPr="001371E9">
        <w:rPr>
          <w:rFonts w:cs="Calibri"/>
          <w:i/>
          <w:sz w:val="24"/>
          <w:szCs w:val="24"/>
        </w:rPr>
        <w:t xml:space="preserve">shall:  </w:t>
      </w:r>
    </w:p>
    <w:p w14:paraId="4C874B20" w14:textId="58C3CFF0" w:rsidR="00F878D0" w:rsidRPr="00F878D0" w:rsidRDefault="00F878D0" w:rsidP="00BA3B92">
      <w:pPr>
        <w:numPr>
          <w:ilvl w:val="0"/>
          <w:numId w:val="6"/>
        </w:numPr>
        <w:spacing w:before="120" w:after="240"/>
        <w:ind w:left="1080"/>
        <w:rPr>
          <w:rFonts w:cs="Calibri"/>
          <w:sz w:val="24"/>
          <w:szCs w:val="24"/>
        </w:rPr>
      </w:pPr>
      <w:r w:rsidRPr="36AF73CC">
        <w:rPr>
          <w:rFonts w:cs="Calibri"/>
          <w:sz w:val="24"/>
          <w:szCs w:val="24"/>
        </w:rPr>
        <w:t xml:space="preserve">LARC provision, at least one option: have the on-site ability to place at least one (1) type of long-acting reversible contraceptive (e.g., intrauterine device or subdermal implant). This service </w:t>
      </w:r>
      <w:r w:rsidR="00CC685D" w:rsidRPr="36AF73CC">
        <w:rPr>
          <w:rFonts w:cs="Calibri"/>
          <w:sz w:val="24"/>
          <w:szCs w:val="24"/>
        </w:rPr>
        <w:t xml:space="preserve">shall </w:t>
      </w:r>
      <w:r w:rsidRPr="36AF73CC">
        <w:rPr>
          <w:rFonts w:cs="Calibri"/>
          <w:sz w:val="24"/>
          <w:szCs w:val="24"/>
        </w:rPr>
        <w:t xml:space="preserve">be available on-site during normal business hours at least one session every other week (i.e., twice monthly). This activity may occur either in the primary care office or from a co-located provider at the same practice </w:t>
      </w:r>
      <w:r w:rsidR="00CC685D" w:rsidRPr="36AF73CC">
        <w:rPr>
          <w:rFonts w:cs="Calibri"/>
          <w:sz w:val="24"/>
          <w:szCs w:val="24"/>
        </w:rPr>
        <w:t>site</w:t>
      </w:r>
      <w:r w:rsidRPr="36AF73CC">
        <w:rPr>
          <w:rFonts w:cs="Calibri"/>
          <w:sz w:val="24"/>
          <w:szCs w:val="24"/>
        </w:rPr>
        <w:t>.</w:t>
      </w:r>
      <w:r w:rsidR="733EE326" w:rsidRPr="36AF73CC">
        <w:rPr>
          <w:rFonts w:cs="Calibri"/>
          <w:sz w:val="24"/>
          <w:szCs w:val="24"/>
        </w:rPr>
        <w:t xml:space="preserve"> </w:t>
      </w:r>
      <w:r w:rsidR="007D7048" w:rsidRPr="36AF73CC">
        <w:rPr>
          <w:rFonts w:cs="Calibri"/>
          <w:sz w:val="24"/>
          <w:szCs w:val="24"/>
        </w:rPr>
        <w:t>Enrollees must be able to access this requirement on-site.</w:t>
      </w:r>
    </w:p>
    <w:p w14:paraId="21562CC4" w14:textId="7A0FC24F" w:rsidR="00F878D0" w:rsidRPr="00CC685D" w:rsidRDefault="521EB65A" w:rsidP="00BA3B92">
      <w:pPr>
        <w:numPr>
          <w:ilvl w:val="0"/>
          <w:numId w:val="6"/>
        </w:numPr>
        <w:spacing w:before="120" w:after="240"/>
        <w:ind w:left="1080"/>
        <w:rPr>
          <w:rFonts w:cs="Calibri"/>
          <w:sz w:val="24"/>
          <w:szCs w:val="24"/>
        </w:rPr>
      </w:pPr>
      <w:r w:rsidRPr="36AF73CC">
        <w:rPr>
          <w:rFonts w:cs="Calibri"/>
          <w:sz w:val="24"/>
          <w:szCs w:val="24"/>
        </w:rPr>
        <w:t xml:space="preserve">Active Buprenorphine Availability: have at least one </w:t>
      </w:r>
      <w:r w:rsidR="2B75D6DB" w:rsidRPr="36AF73CC">
        <w:rPr>
          <w:rFonts w:cs="Calibri"/>
          <w:sz w:val="24"/>
          <w:szCs w:val="24"/>
        </w:rPr>
        <w:t xml:space="preserve">(1) </w:t>
      </w:r>
      <w:r w:rsidR="3DBB3E4C" w:rsidRPr="36AF73CC">
        <w:rPr>
          <w:rFonts w:cs="Calibri"/>
          <w:sz w:val="24"/>
          <w:szCs w:val="24"/>
        </w:rPr>
        <w:t xml:space="preserve">individual </w:t>
      </w:r>
      <w:r w:rsidRPr="36AF73CC">
        <w:rPr>
          <w:rFonts w:cs="Calibri"/>
          <w:sz w:val="24"/>
          <w:szCs w:val="24"/>
        </w:rPr>
        <w:t xml:space="preserve">provider actively prescribing buprenorphine for management of opioid use disorder to patients with opioid use disorder as clinically indicated. </w:t>
      </w:r>
      <w:r w:rsidR="2B75D6DB" w:rsidRPr="36AF73CC">
        <w:rPr>
          <w:rFonts w:cs="Calibri"/>
          <w:sz w:val="24"/>
          <w:szCs w:val="24"/>
        </w:rPr>
        <w:t xml:space="preserve">Actively prescribing means that a provider is either currently prescribing buprenorphine for Enrollees at the practice, or is willing and able to </w:t>
      </w:r>
      <w:proofErr w:type="gramStart"/>
      <w:r w:rsidR="2B75D6DB" w:rsidRPr="36AF73CC">
        <w:rPr>
          <w:rFonts w:cs="Calibri"/>
          <w:sz w:val="24"/>
          <w:szCs w:val="24"/>
        </w:rPr>
        <w:t>if and when</w:t>
      </w:r>
      <w:proofErr w:type="gramEnd"/>
      <w:r w:rsidR="2B75D6DB" w:rsidRPr="36AF73CC">
        <w:rPr>
          <w:rFonts w:cs="Calibri"/>
          <w:sz w:val="24"/>
          <w:szCs w:val="24"/>
        </w:rPr>
        <w:t xml:space="preserve"> any Enroll</w:t>
      </w:r>
      <w:r w:rsidR="7A07675D" w:rsidRPr="36AF73CC">
        <w:rPr>
          <w:rFonts w:cs="Calibri"/>
          <w:sz w:val="24"/>
          <w:szCs w:val="24"/>
        </w:rPr>
        <w:t xml:space="preserve">ee is in need of this service, without having to refer the Enrollee to another location. </w:t>
      </w:r>
      <w:r w:rsidRPr="36AF73CC">
        <w:rPr>
          <w:rFonts w:cs="Calibri"/>
          <w:sz w:val="24"/>
          <w:szCs w:val="24"/>
        </w:rPr>
        <w:t xml:space="preserve">This provider </w:t>
      </w:r>
      <w:r w:rsidR="3DBB3E4C" w:rsidRPr="36AF73CC">
        <w:rPr>
          <w:rFonts w:cs="Calibri"/>
          <w:sz w:val="24"/>
          <w:szCs w:val="24"/>
        </w:rPr>
        <w:t xml:space="preserve">shall </w:t>
      </w:r>
      <w:r w:rsidRPr="36AF73CC">
        <w:rPr>
          <w:rFonts w:cs="Calibri"/>
          <w:sz w:val="24"/>
          <w:szCs w:val="24"/>
        </w:rPr>
        <w:t xml:space="preserve">be dedicated and available to patients in the practice on-site or virtually on at least a weekly basis. </w:t>
      </w:r>
      <w:r w:rsidR="39B77E44" w:rsidRPr="36AF73CC">
        <w:rPr>
          <w:rFonts w:cs="Calibri"/>
          <w:sz w:val="24"/>
          <w:szCs w:val="24"/>
        </w:rPr>
        <w:t>Providing refer</w:t>
      </w:r>
      <w:r w:rsidR="10158DCD" w:rsidRPr="36AF73CC">
        <w:rPr>
          <w:rFonts w:cs="Calibri"/>
          <w:sz w:val="24"/>
          <w:szCs w:val="24"/>
        </w:rPr>
        <w:t>rals to SUD care or maintaining agreements with other p</w:t>
      </w:r>
      <w:r w:rsidR="06AF6FCB" w:rsidRPr="36AF73CC">
        <w:rPr>
          <w:rFonts w:cs="Calibri"/>
          <w:sz w:val="24"/>
          <w:szCs w:val="24"/>
        </w:rPr>
        <w:t xml:space="preserve">roviders or practices that require the </w:t>
      </w:r>
      <w:r w:rsidR="00BB0A37" w:rsidRPr="36AF73CC">
        <w:rPr>
          <w:rFonts w:cs="Calibri"/>
          <w:sz w:val="24"/>
          <w:szCs w:val="24"/>
        </w:rPr>
        <w:t>E</w:t>
      </w:r>
      <w:r w:rsidR="06AF6FCB" w:rsidRPr="36AF73CC">
        <w:rPr>
          <w:rFonts w:cs="Calibri"/>
          <w:sz w:val="24"/>
          <w:szCs w:val="24"/>
        </w:rPr>
        <w:t xml:space="preserve">nrollee to present at a different location </w:t>
      </w:r>
      <w:r w:rsidR="06AF6FCB" w:rsidRPr="36AF73CC">
        <w:rPr>
          <w:rFonts w:cs="Calibri"/>
          <w:sz w:val="24"/>
          <w:szCs w:val="24"/>
          <w:u w:val="single"/>
        </w:rPr>
        <w:t xml:space="preserve">does </w:t>
      </w:r>
      <w:r w:rsidR="06AF6FCB" w:rsidRPr="36AF73CC">
        <w:rPr>
          <w:rFonts w:cs="Calibri"/>
          <w:sz w:val="24"/>
          <w:szCs w:val="24"/>
        </w:rPr>
        <w:t xml:space="preserve">not meet this requirement. </w:t>
      </w:r>
      <w:r w:rsidR="7F9381A2" w:rsidRPr="36AF73CC">
        <w:rPr>
          <w:rFonts w:cs="Calibri"/>
          <w:sz w:val="24"/>
          <w:szCs w:val="24"/>
        </w:rPr>
        <w:t xml:space="preserve"> </w:t>
      </w:r>
    </w:p>
    <w:p w14:paraId="30539636" w14:textId="5EA23102" w:rsidR="00F878D0" w:rsidRPr="00F878D0" w:rsidRDefault="521EB65A" w:rsidP="00BA3B92">
      <w:pPr>
        <w:numPr>
          <w:ilvl w:val="0"/>
          <w:numId w:val="6"/>
        </w:numPr>
        <w:spacing w:before="120" w:after="240"/>
        <w:ind w:left="1080"/>
        <w:rPr>
          <w:rFonts w:cs="Calibri"/>
          <w:sz w:val="24"/>
          <w:szCs w:val="24"/>
        </w:rPr>
      </w:pPr>
      <w:r w:rsidRPr="36AF73CC">
        <w:rPr>
          <w:rFonts w:cs="Calibri"/>
          <w:sz w:val="24"/>
          <w:szCs w:val="24"/>
        </w:rPr>
        <w:t>Active Alcohol Use Disorder (AUD) Treatment Availability: at least one provider actively prescrib</w:t>
      </w:r>
      <w:r w:rsidR="3DBB3E4C" w:rsidRPr="36AF73CC">
        <w:rPr>
          <w:rFonts w:cs="Calibri"/>
          <w:sz w:val="24"/>
          <w:szCs w:val="24"/>
        </w:rPr>
        <w:t>ing or willing and able to prescribe</w:t>
      </w:r>
      <w:r w:rsidRPr="36AF73CC">
        <w:rPr>
          <w:rFonts w:cs="Calibri"/>
          <w:sz w:val="24"/>
          <w:szCs w:val="24"/>
        </w:rPr>
        <w:t xml:space="preserve"> relevant medications for management of alcohol use disorder (e.g., Disulfiram, Acamprosate, Naltrexone, etc.).</w:t>
      </w:r>
      <w:r w:rsidR="5F90A94D" w:rsidRPr="36AF73CC">
        <w:rPr>
          <w:rFonts w:cs="Calibri"/>
          <w:sz w:val="24"/>
          <w:szCs w:val="24"/>
        </w:rPr>
        <w:t xml:space="preserve"> </w:t>
      </w:r>
      <w:r w:rsidR="5D781B22" w:rsidRPr="36AF73CC">
        <w:rPr>
          <w:rFonts w:cs="Calibri"/>
          <w:sz w:val="24"/>
          <w:szCs w:val="24"/>
        </w:rPr>
        <w:t xml:space="preserve">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1DDB34B7" w14:textId="77777777" w:rsidR="00DD575F" w:rsidRDefault="00DD575F">
      <w:pPr>
        <w:rPr>
          <w:rFonts w:eastAsia="Arial" w:cs="Calibri"/>
          <w:b/>
          <w:sz w:val="24"/>
          <w:szCs w:val="24"/>
        </w:rPr>
      </w:pPr>
      <w:r>
        <w:rPr>
          <w:rFonts w:eastAsia="Arial" w:cs="Calibri"/>
          <w:b/>
          <w:sz w:val="24"/>
          <w:szCs w:val="24"/>
        </w:rPr>
        <w:br w:type="page"/>
      </w:r>
    </w:p>
    <w:p w14:paraId="2F552531" w14:textId="44B639FB" w:rsidR="00F878D0" w:rsidRPr="00F878D0" w:rsidRDefault="00876C1B" w:rsidP="00BA3B92">
      <w:pPr>
        <w:rPr>
          <w:rFonts w:eastAsia="Arial" w:cs="Calibri"/>
          <w:b/>
          <w:sz w:val="24"/>
          <w:szCs w:val="24"/>
        </w:rPr>
      </w:pPr>
      <w:r>
        <w:rPr>
          <w:rFonts w:eastAsia="Arial" w:cs="Calibri"/>
          <w:b/>
          <w:noProof/>
          <w:sz w:val="24"/>
          <w:szCs w:val="24"/>
        </w:rPr>
        <w:lastRenderedPageBreak/>
        <w:pict w14:anchorId="17090B90">
          <v:rect id="_x0000_i1029" alt="" style="width:468pt;height:.05pt;mso-width-percent:0;mso-height-percent:0;mso-width-percent:0;mso-height-percent:0" o:hralign="center" o:hrstd="t" o:hr="t" fillcolor="#a0a0a0" stroked="f"/>
        </w:pict>
      </w:r>
    </w:p>
    <w:p w14:paraId="111A68B2" w14:textId="3F7D3DB0" w:rsidR="00F878D0" w:rsidRPr="00093B9E" w:rsidRDefault="00F878D0" w:rsidP="00D07512">
      <w:pPr>
        <w:pStyle w:val="Heading2"/>
        <w:spacing w:after="240"/>
        <w:rPr>
          <w:color w:val="auto"/>
        </w:rPr>
      </w:pPr>
      <w:bookmarkStart w:id="8" w:name="whereileftoff"/>
      <w:bookmarkEnd w:id="8"/>
      <w:r w:rsidRPr="00093B9E">
        <w:rPr>
          <w:color w:val="auto"/>
        </w:rPr>
        <w:t>SECTION III: Tier 3 Practice Service Requirements</w:t>
      </w:r>
    </w:p>
    <w:p w14:paraId="347902ED" w14:textId="47A9DACF" w:rsidR="00CC685D" w:rsidRPr="00093B9E" w:rsidRDefault="00CC685D" w:rsidP="00DD575F">
      <w:pPr>
        <w:spacing w:before="120" w:after="120"/>
        <w:rPr>
          <w:sz w:val="24"/>
          <w:szCs w:val="24"/>
        </w:rPr>
      </w:pPr>
      <w:r w:rsidRPr="36AF73CC">
        <w:rPr>
          <w:sz w:val="24"/>
          <w:szCs w:val="24"/>
        </w:rPr>
        <w:t xml:space="preserve">Requirements to achieve a Tier Designation of Tier 3. Practices shall meet </w:t>
      </w:r>
      <w:r w:rsidRPr="36AF73CC">
        <w:rPr>
          <w:i/>
          <w:iCs/>
          <w:sz w:val="24"/>
          <w:szCs w:val="24"/>
        </w:rPr>
        <w:t xml:space="preserve">all Tier 1 requirements, all Tier </w:t>
      </w:r>
      <w:r w:rsidR="00E10822" w:rsidRPr="36AF73CC">
        <w:rPr>
          <w:i/>
          <w:iCs/>
          <w:sz w:val="24"/>
          <w:szCs w:val="24"/>
        </w:rPr>
        <w:t>2</w:t>
      </w:r>
      <w:r w:rsidRPr="36AF73CC">
        <w:rPr>
          <w:i/>
          <w:iCs/>
          <w:sz w:val="24"/>
          <w:szCs w:val="24"/>
        </w:rPr>
        <w:t xml:space="preserve"> requirements, and all Tier </w:t>
      </w:r>
      <w:r w:rsidR="00E10822" w:rsidRPr="36AF73CC">
        <w:rPr>
          <w:i/>
          <w:iCs/>
          <w:sz w:val="24"/>
          <w:szCs w:val="24"/>
        </w:rPr>
        <w:t>3</w:t>
      </w:r>
      <w:r w:rsidRPr="36AF73CC">
        <w:rPr>
          <w:i/>
          <w:iCs/>
          <w:sz w:val="24"/>
          <w:szCs w:val="24"/>
        </w:rPr>
        <w:t xml:space="preserve"> requirements </w:t>
      </w:r>
      <w:r w:rsidRPr="36AF73CC">
        <w:rPr>
          <w:sz w:val="24"/>
          <w:szCs w:val="24"/>
        </w:rPr>
        <w:t>to achieve this Tier Designation.</w:t>
      </w:r>
    </w:p>
    <w:p w14:paraId="4972365B" w14:textId="0A07187E" w:rsidR="00F878D0" w:rsidRPr="00093B9E" w:rsidRDefault="00F878D0" w:rsidP="00E21F83">
      <w:pPr>
        <w:pStyle w:val="ListParagraph"/>
        <w:numPr>
          <w:ilvl w:val="0"/>
          <w:numId w:val="22"/>
        </w:numPr>
        <w:spacing w:before="120" w:after="120"/>
        <w:rPr>
          <w:b/>
          <w:sz w:val="24"/>
          <w:szCs w:val="24"/>
        </w:rPr>
      </w:pPr>
      <w:r w:rsidRPr="00093B9E">
        <w:rPr>
          <w:b/>
          <w:sz w:val="24"/>
          <w:szCs w:val="24"/>
        </w:rPr>
        <w:t xml:space="preserve">Care Delivery </w:t>
      </w:r>
    </w:p>
    <w:p w14:paraId="53E03073" w14:textId="193C001B" w:rsidR="00F878D0" w:rsidRPr="00093B9E" w:rsidRDefault="00851699" w:rsidP="00E21F83">
      <w:pPr>
        <w:spacing w:before="120" w:after="120"/>
        <w:ind w:left="360"/>
        <w:rPr>
          <w:i/>
          <w:iCs/>
          <w:sz w:val="24"/>
          <w:szCs w:val="24"/>
        </w:rPr>
      </w:pPr>
      <w:r w:rsidRPr="00093B9E">
        <w:rPr>
          <w:i/>
          <w:iCs/>
          <w:sz w:val="24"/>
          <w:szCs w:val="24"/>
        </w:rPr>
        <w:t>The practice shall</w:t>
      </w:r>
      <w:r w:rsidR="009A4307" w:rsidRPr="00093B9E">
        <w:rPr>
          <w:i/>
          <w:iCs/>
          <w:sz w:val="24"/>
          <w:szCs w:val="24"/>
        </w:rPr>
        <w:t xml:space="preserve"> f</w:t>
      </w:r>
      <w:r w:rsidR="00F878D0" w:rsidRPr="00093B9E">
        <w:rPr>
          <w:i/>
          <w:iCs/>
          <w:sz w:val="24"/>
          <w:szCs w:val="24"/>
        </w:rPr>
        <w:t xml:space="preserve">ulfill at least </w:t>
      </w:r>
      <w:r w:rsidR="00F878D0" w:rsidRPr="00093B9E">
        <w:rPr>
          <w:b/>
          <w:bCs/>
          <w:i/>
          <w:iCs/>
          <w:sz w:val="24"/>
          <w:szCs w:val="24"/>
        </w:rPr>
        <w:t>one</w:t>
      </w:r>
      <w:r w:rsidR="00F878D0" w:rsidRPr="00093B9E">
        <w:rPr>
          <w:i/>
          <w:iCs/>
          <w:sz w:val="24"/>
          <w:szCs w:val="24"/>
        </w:rPr>
        <w:t xml:space="preserve"> of the following </w:t>
      </w:r>
      <w:r w:rsidRPr="00093B9E">
        <w:rPr>
          <w:i/>
          <w:iCs/>
          <w:sz w:val="24"/>
          <w:szCs w:val="24"/>
        </w:rPr>
        <w:t>three</w:t>
      </w:r>
      <w:r w:rsidR="00F878D0" w:rsidRPr="00093B9E">
        <w:rPr>
          <w:i/>
          <w:iCs/>
          <w:sz w:val="24"/>
          <w:szCs w:val="24"/>
        </w:rPr>
        <w:t xml:space="preserve"> requirements:</w:t>
      </w:r>
    </w:p>
    <w:p w14:paraId="1E350714" w14:textId="734C97D6" w:rsidR="00F878D0" w:rsidRPr="00BB6C28" w:rsidRDefault="521EB65A" w:rsidP="36AF73CC">
      <w:pPr>
        <w:numPr>
          <w:ilvl w:val="0"/>
          <w:numId w:val="2"/>
        </w:numPr>
        <w:spacing w:before="120" w:after="120"/>
        <w:ind w:left="1080"/>
        <w:rPr>
          <w:rFonts w:asciiTheme="minorHAnsi" w:hAnsiTheme="minorHAnsi"/>
        </w:rPr>
      </w:pPr>
      <w:r w:rsidRPr="36AF73CC">
        <w:rPr>
          <w:rFonts w:cs="Calibri"/>
          <w:sz w:val="24"/>
          <w:szCs w:val="24"/>
        </w:rPr>
        <w:t>Clinical pharmacist visits: offer its patients the ability to conduct office-based or virtual appointments with a licensed clinical pharmacist focused on medication management and teaching.</w:t>
      </w:r>
      <w:r w:rsidR="5F90A94D" w:rsidRPr="36AF73CC">
        <w:rPr>
          <w:rFonts w:cs="Calibri"/>
          <w:sz w:val="24"/>
          <w:szCs w:val="24"/>
        </w:rPr>
        <w:t xml:space="preserve"> The clinical pharmacist shall be dedicated to the practice </w:t>
      </w:r>
      <w:r w:rsidR="000BF0A5" w:rsidRPr="36AF73CC">
        <w:rPr>
          <w:rFonts w:cs="Calibri"/>
          <w:sz w:val="24"/>
          <w:szCs w:val="24"/>
        </w:rPr>
        <w:t xml:space="preserve">for a minimum </w:t>
      </w:r>
      <w:r w:rsidR="3CB8EFB3" w:rsidRPr="36AF73CC">
        <w:rPr>
          <w:rFonts w:cs="Calibri"/>
          <w:sz w:val="24"/>
          <w:szCs w:val="24"/>
        </w:rPr>
        <w:t xml:space="preserve">of </w:t>
      </w:r>
      <w:r w:rsidR="000BF0A5" w:rsidRPr="36AF73CC">
        <w:rPr>
          <w:rFonts w:cs="Calibri"/>
          <w:sz w:val="24"/>
          <w:szCs w:val="24"/>
        </w:rPr>
        <w:t>three (3) or more equivalent 4-hour sessions per week (</w:t>
      </w:r>
      <w:r w:rsidR="00CD6AB4" w:rsidRPr="36AF73CC">
        <w:rPr>
          <w:rFonts w:cs="Calibri"/>
          <w:sz w:val="24"/>
          <w:szCs w:val="24"/>
        </w:rPr>
        <w:t>i.e.,</w:t>
      </w:r>
      <w:r w:rsidR="000BF0A5" w:rsidRPr="36AF73CC">
        <w:rPr>
          <w:rFonts w:cs="Calibri"/>
          <w:sz w:val="24"/>
          <w:szCs w:val="24"/>
        </w:rPr>
        <w:t xml:space="preserve"> </w:t>
      </w:r>
      <w:r w:rsidR="000BF0A5" w:rsidRPr="36AF73CC">
        <w:rPr>
          <w:rFonts w:cs="Calibri"/>
          <w:sz w:val="24"/>
          <w:szCs w:val="24"/>
          <w:u w:val="single"/>
        </w:rPr>
        <w:t>&gt;</w:t>
      </w:r>
      <w:r w:rsidR="000BF0A5" w:rsidRPr="36AF73CC">
        <w:rPr>
          <w:rFonts w:cs="Calibri"/>
          <w:sz w:val="24"/>
          <w:szCs w:val="24"/>
        </w:rPr>
        <w:t>0.3 FTE)</w:t>
      </w:r>
    </w:p>
    <w:p w14:paraId="364A7D85" w14:textId="5FDDF69B" w:rsidR="00851699" w:rsidRPr="00F878D0" w:rsidRDefault="00F878D0" w:rsidP="00DD575F">
      <w:pPr>
        <w:spacing w:before="120" w:after="120"/>
        <w:ind w:left="1080"/>
        <w:rPr>
          <w:rFonts w:cs="Calibri"/>
          <w:sz w:val="24"/>
          <w:szCs w:val="24"/>
        </w:rPr>
      </w:pPr>
      <w:r w:rsidRPr="00F878D0">
        <w:rPr>
          <w:rFonts w:cs="Calibri"/>
          <w:sz w:val="24"/>
          <w:szCs w:val="24"/>
        </w:rPr>
        <w:t>OR</w:t>
      </w:r>
    </w:p>
    <w:p w14:paraId="4D95CF87" w14:textId="56A1A95B" w:rsidR="00F878D0" w:rsidRPr="00BB6C28" w:rsidRDefault="000BF0A5" w:rsidP="36AF73CC">
      <w:pPr>
        <w:numPr>
          <w:ilvl w:val="0"/>
          <w:numId w:val="2"/>
        </w:numPr>
        <w:spacing w:before="120" w:after="120"/>
        <w:ind w:left="1080"/>
        <w:rPr>
          <w:rFonts w:asciiTheme="minorHAnsi" w:hAnsiTheme="minorHAnsi"/>
        </w:rPr>
      </w:pPr>
      <w:r w:rsidRPr="36AF73CC">
        <w:rPr>
          <w:rFonts w:cs="Calibri"/>
          <w:sz w:val="24"/>
          <w:szCs w:val="24"/>
        </w:rPr>
        <w:t xml:space="preserve">Group visits: offer its patients the ability to participate in </w:t>
      </w:r>
      <w:r w:rsidR="4399037D" w:rsidRPr="36AF73CC">
        <w:rPr>
          <w:rFonts w:cs="Calibri"/>
          <w:sz w:val="24"/>
          <w:szCs w:val="24"/>
        </w:rPr>
        <w:t xml:space="preserve">office-based or virtual </w:t>
      </w:r>
      <w:r w:rsidRPr="36AF73CC">
        <w:rPr>
          <w:rFonts w:cs="Calibri"/>
          <w:sz w:val="24"/>
          <w:szCs w:val="24"/>
        </w:rPr>
        <w:t xml:space="preserve">appointments at which services are provided to multiple patients for a shared condition and peer support is elicited (e.g., mental health, substance use disorder, antenatal care, etc.). Group visits shall be offered by staff that are dedicated to the practice for a minimum </w:t>
      </w:r>
      <w:r w:rsidR="3CB8EFB3" w:rsidRPr="36AF73CC">
        <w:rPr>
          <w:rFonts w:cs="Calibri"/>
          <w:sz w:val="24"/>
          <w:szCs w:val="24"/>
        </w:rPr>
        <w:t xml:space="preserve">of </w:t>
      </w:r>
      <w:r w:rsidRPr="36AF73CC">
        <w:rPr>
          <w:rFonts w:cs="Calibri"/>
          <w:sz w:val="24"/>
          <w:szCs w:val="24"/>
        </w:rPr>
        <w:t>three (3) or more equivalent 4-hour sessions per week (</w:t>
      </w:r>
      <w:r w:rsidR="00CD6AB4" w:rsidRPr="36AF73CC">
        <w:rPr>
          <w:rFonts w:cs="Calibri"/>
          <w:sz w:val="24"/>
          <w:szCs w:val="24"/>
        </w:rPr>
        <w:t>i.e.,</w:t>
      </w:r>
      <w:r w:rsidRPr="36AF73CC">
        <w:rPr>
          <w:rFonts w:cs="Calibri"/>
          <w:sz w:val="24"/>
          <w:szCs w:val="24"/>
        </w:rPr>
        <w:t xml:space="preserve"> </w:t>
      </w:r>
      <w:r w:rsidRPr="36AF73CC">
        <w:rPr>
          <w:rFonts w:cs="Calibri"/>
          <w:sz w:val="24"/>
          <w:szCs w:val="24"/>
          <w:u w:val="single"/>
        </w:rPr>
        <w:t>&gt;</w:t>
      </w:r>
      <w:r w:rsidRPr="36AF73CC">
        <w:rPr>
          <w:rFonts w:cs="Calibri"/>
          <w:sz w:val="24"/>
          <w:szCs w:val="24"/>
        </w:rPr>
        <w:t>0.3 FTE)</w:t>
      </w:r>
    </w:p>
    <w:p w14:paraId="67917AA1" w14:textId="39C462E6" w:rsidR="00851699" w:rsidRPr="00851699" w:rsidRDefault="294F179F" w:rsidP="00DD575F">
      <w:pPr>
        <w:spacing w:before="120" w:after="120"/>
        <w:ind w:left="1080"/>
        <w:rPr>
          <w:rFonts w:cs="Calibri"/>
          <w:sz w:val="24"/>
          <w:szCs w:val="24"/>
        </w:rPr>
      </w:pPr>
      <w:r w:rsidRPr="36AF73CC">
        <w:rPr>
          <w:rFonts w:cs="Calibri"/>
          <w:sz w:val="24"/>
          <w:szCs w:val="24"/>
        </w:rPr>
        <w:t xml:space="preserve">OR </w:t>
      </w:r>
    </w:p>
    <w:p w14:paraId="07475632" w14:textId="2F2F2F1F" w:rsidR="00F878D0" w:rsidRPr="00BB6C28" w:rsidRDefault="521EB65A" w:rsidP="36AF73CC">
      <w:pPr>
        <w:numPr>
          <w:ilvl w:val="0"/>
          <w:numId w:val="2"/>
        </w:numPr>
        <w:spacing w:before="120" w:after="240"/>
        <w:ind w:left="1080"/>
        <w:rPr>
          <w:rFonts w:asciiTheme="minorHAnsi" w:hAnsiTheme="minorHAnsi"/>
          <w:sz w:val="24"/>
          <w:szCs w:val="24"/>
        </w:rPr>
      </w:pPr>
      <w:r w:rsidRPr="36AF73CC">
        <w:rPr>
          <w:rFonts w:cs="Calibri"/>
          <w:sz w:val="24"/>
          <w:szCs w:val="24"/>
        </w:rPr>
        <w:t xml:space="preserve">Designated Educational Liaison for pediatric patients: </w:t>
      </w:r>
      <w:r w:rsidR="3A10F330" w:rsidRPr="36AF73CC">
        <w:rPr>
          <w:rFonts w:cs="Calibri"/>
          <w:sz w:val="24"/>
          <w:szCs w:val="24"/>
        </w:rPr>
        <w:t>For practices</w:t>
      </w:r>
      <w:r w:rsidRPr="36AF73CC">
        <w:rPr>
          <w:rFonts w:cs="Calibri"/>
          <w:sz w:val="24"/>
          <w:szCs w:val="24"/>
        </w:rPr>
        <w:t xml:space="preserve"> serving pediatric </w:t>
      </w:r>
      <w:r w:rsidR="3A10F330" w:rsidRPr="36AF73CC">
        <w:rPr>
          <w:rFonts w:cs="Calibri"/>
          <w:sz w:val="24"/>
          <w:szCs w:val="24"/>
        </w:rPr>
        <w:t>patients,</w:t>
      </w:r>
      <w:r w:rsidRPr="36AF73CC">
        <w:rPr>
          <w:rFonts w:cs="Calibri"/>
          <w:sz w:val="24"/>
          <w:szCs w:val="24"/>
        </w:rPr>
        <w:t xml:space="preserve"> have dedicated staff member </w:t>
      </w:r>
      <w:r w:rsidR="3A10F330" w:rsidRPr="36AF73CC">
        <w:rPr>
          <w:rFonts w:cs="Calibri"/>
          <w:sz w:val="24"/>
          <w:szCs w:val="24"/>
        </w:rPr>
        <w:t>that</w:t>
      </w:r>
      <w:r w:rsidRPr="36AF73CC">
        <w:rPr>
          <w:rFonts w:cs="Calibri"/>
          <w:sz w:val="24"/>
          <w:szCs w:val="24"/>
        </w:rPr>
        <w:t xml:space="preserve"> serve</w:t>
      </w:r>
      <w:r w:rsidR="3A10F330" w:rsidRPr="36AF73CC">
        <w:rPr>
          <w:rFonts w:cs="Calibri"/>
          <w:sz w:val="24"/>
          <w:szCs w:val="24"/>
        </w:rPr>
        <w:t>s</w:t>
      </w:r>
      <w:r w:rsidRPr="36AF73CC">
        <w:rPr>
          <w:rFonts w:cs="Calibri"/>
          <w:sz w:val="24"/>
          <w:szCs w:val="24"/>
        </w:rPr>
        <w:t xml:space="preserve"> as a</w:t>
      </w:r>
      <w:r w:rsidR="12F23121" w:rsidRPr="36AF73CC">
        <w:rPr>
          <w:rFonts w:cs="Calibri"/>
          <w:sz w:val="24"/>
          <w:szCs w:val="24"/>
        </w:rPr>
        <w:t>n office-based or virtual</w:t>
      </w:r>
      <w:r w:rsidRPr="36AF73CC">
        <w:rPr>
          <w:rFonts w:cs="Calibri"/>
          <w:sz w:val="24"/>
          <w:szCs w:val="24"/>
        </w:rPr>
        <w:t xml:space="preserve"> resource for families navigating the intersection of the medical and educational systems. The Educational Liaison </w:t>
      </w:r>
      <w:r w:rsidR="3A10F330" w:rsidRPr="36AF73CC">
        <w:rPr>
          <w:rFonts w:cs="Calibri"/>
          <w:sz w:val="24"/>
          <w:szCs w:val="24"/>
        </w:rPr>
        <w:t>shall</w:t>
      </w:r>
      <w:r w:rsidRPr="36AF73CC">
        <w:rPr>
          <w:rFonts w:cs="Calibri"/>
          <w:sz w:val="24"/>
          <w:szCs w:val="24"/>
        </w:rPr>
        <w:t xml:space="preserve"> have knowledge of education and special education systems, including early education settings, and </w:t>
      </w:r>
      <w:r w:rsidR="3A10F330" w:rsidRPr="36AF73CC">
        <w:rPr>
          <w:rFonts w:cs="Calibri"/>
          <w:sz w:val="24"/>
          <w:szCs w:val="24"/>
        </w:rPr>
        <w:t>shall</w:t>
      </w:r>
      <w:r w:rsidRPr="36AF73CC">
        <w:rPr>
          <w:rFonts w:cs="Calibri"/>
          <w:sz w:val="24"/>
          <w:szCs w:val="24"/>
        </w:rPr>
        <w:t xml:space="preserve"> create relationships with local schools and early education settings. The Educational Liaison </w:t>
      </w:r>
      <w:r w:rsidR="3A10F330" w:rsidRPr="36AF73CC">
        <w:rPr>
          <w:rFonts w:cs="Calibri"/>
          <w:sz w:val="24"/>
          <w:szCs w:val="24"/>
        </w:rPr>
        <w:t>shall</w:t>
      </w:r>
      <w:r w:rsidRPr="36AF73CC">
        <w:rPr>
          <w:rFonts w:cs="Calibri"/>
          <w:sz w:val="24"/>
          <w:szCs w:val="24"/>
        </w:rPr>
        <w:t xml:space="preserve"> provide support to patients with medical, developmental, and/or BH needs and </w:t>
      </w:r>
      <w:r w:rsidR="3A10F330" w:rsidRPr="36AF73CC">
        <w:rPr>
          <w:rFonts w:cs="Calibri"/>
          <w:sz w:val="24"/>
          <w:szCs w:val="24"/>
        </w:rPr>
        <w:t>shall</w:t>
      </w:r>
      <w:r w:rsidRPr="36AF73CC">
        <w:rPr>
          <w:rFonts w:cs="Calibri"/>
          <w:sz w:val="24"/>
          <w:szCs w:val="24"/>
        </w:rPr>
        <w:t xml:space="preserve"> be available to provide input to the educational team at schools</w:t>
      </w:r>
      <w:r w:rsidR="3A10F330" w:rsidRPr="36AF73CC">
        <w:rPr>
          <w:rFonts w:cs="Calibri"/>
          <w:sz w:val="24"/>
          <w:szCs w:val="24"/>
        </w:rPr>
        <w:t xml:space="preserve"> as needed and shall be</w:t>
      </w:r>
      <w:r w:rsidR="5F90A94D" w:rsidRPr="36AF73CC">
        <w:rPr>
          <w:rFonts w:cs="Calibri"/>
          <w:sz w:val="24"/>
          <w:szCs w:val="24"/>
        </w:rPr>
        <w:t xml:space="preserve"> dedicated to the practice </w:t>
      </w:r>
      <w:r w:rsidR="000BF0A5" w:rsidRPr="36AF73CC">
        <w:rPr>
          <w:rFonts w:cs="Calibri"/>
          <w:sz w:val="24"/>
          <w:szCs w:val="24"/>
        </w:rPr>
        <w:t xml:space="preserve">for a minimum </w:t>
      </w:r>
      <w:r w:rsidR="3CB8EFB3" w:rsidRPr="36AF73CC">
        <w:rPr>
          <w:rFonts w:cs="Calibri"/>
          <w:sz w:val="24"/>
          <w:szCs w:val="24"/>
        </w:rPr>
        <w:t xml:space="preserve">of </w:t>
      </w:r>
      <w:r w:rsidR="000BF0A5" w:rsidRPr="36AF73CC">
        <w:rPr>
          <w:rFonts w:cs="Calibri"/>
          <w:sz w:val="24"/>
          <w:szCs w:val="24"/>
        </w:rPr>
        <w:t>three (3) or more equivalent 4-hour sessions per week (</w:t>
      </w:r>
      <w:r w:rsidR="00CD6AB4" w:rsidRPr="36AF73CC">
        <w:rPr>
          <w:rFonts w:cs="Calibri"/>
          <w:sz w:val="24"/>
          <w:szCs w:val="24"/>
        </w:rPr>
        <w:t>i.e.,</w:t>
      </w:r>
      <w:r w:rsidR="000BF0A5" w:rsidRPr="36AF73CC">
        <w:rPr>
          <w:rFonts w:cs="Calibri"/>
          <w:sz w:val="24"/>
          <w:szCs w:val="24"/>
        </w:rPr>
        <w:t xml:space="preserve"> </w:t>
      </w:r>
      <w:r w:rsidR="000BF0A5" w:rsidRPr="36AF73CC">
        <w:rPr>
          <w:rFonts w:cs="Calibri"/>
          <w:sz w:val="24"/>
          <w:szCs w:val="24"/>
          <w:u w:val="single"/>
        </w:rPr>
        <w:t>&gt;</w:t>
      </w:r>
      <w:r w:rsidR="000BF0A5" w:rsidRPr="36AF73CC">
        <w:rPr>
          <w:rFonts w:cs="Calibri"/>
          <w:sz w:val="24"/>
          <w:szCs w:val="24"/>
        </w:rPr>
        <w:t>0.3 FTE)</w:t>
      </w:r>
      <w:r w:rsidRPr="36AF73CC">
        <w:rPr>
          <w:rFonts w:cs="Calibri"/>
          <w:sz w:val="24"/>
          <w:szCs w:val="24"/>
        </w:rPr>
        <w:t xml:space="preserve">. </w:t>
      </w:r>
    </w:p>
    <w:p w14:paraId="7F04D86F" w14:textId="5986E145" w:rsidR="00F878D0" w:rsidRPr="00093B9E" w:rsidRDefault="00F878D0" w:rsidP="00E21F83">
      <w:pPr>
        <w:pStyle w:val="ListParagraph"/>
        <w:numPr>
          <w:ilvl w:val="0"/>
          <w:numId w:val="22"/>
        </w:numPr>
        <w:spacing w:before="120" w:after="120"/>
        <w:rPr>
          <w:b/>
          <w:sz w:val="24"/>
          <w:szCs w:val="24"/>
        </w:rPr>
      </w:pPr>
      <w:r w:rsidRPr="00093B9E">
        <w:rPr>
          <w:b/>
          <w:sz w:val="24"/>
          <w:szCs w:val="24"/>
        </w:rPr>
        <w:t xml:space="preserve">Structure and Staffing </w:t>
      </w:r>
    </w:p>
    <w:p w14:paraId="5D76124D" w14:textId="267CF926" w:rsidR="009A4307" w:rsidRPr="00762F97" w:rsidRDefault="009A4307" w:rsidP="00E21F83">
      <w:pPr>
        <w:spacing w:before="120" w:after="120"/>
        <w:ind w:left="360" w:right="720"/>
        <w:rPr>
          <w:rFonts w:cs="Calibri"/>
          <w:i/>
          <w:iCs/>
          <w:sz w:val="24"/>
          <w:szCs w:val="24"/>
        </w:rPr>
      </w:pPr>
      <w:r w:rsidRPr="00762F97">
        <w:rPr>
          <w:rFonts w:cs="Calibri"/>
          <w:i/>
          <w:iCs/>
          <w:sz w:val="24"/>
          <w:szCs w:val="24"/>
        </w:rPr>
        <w:t>The practice shall:</w:t>
      </w:r>
    </w:p>
    <w:p w14:paraId="350E444F" w14:textId="33C594B4" w:rsidR="00F878D0" w:rsidRPr="00F878D0" w:rsidRDefault="00F878D0" w:rsidP="00BA3B92">
      <w:pPr>
        <w:numPr>
          <w:ilvl w:val="0"/>
          <w:numId w:val="5"/>
        </w:numPr>
        <w:spacing w:before="120" w:after="240"/>
        <w:ind w:left="1080"/>
        <w:rPr>
          <w:rFonts w:cs="Calibri"/>
          <w:sz w:val="24"/>
          <w:szCs w:val="24"/>
        </w:rPr>
      </w:pPr>
      <w:r w:rsidRPr="2D958F85">
        <w:rPr>
          <w:rFonts w:cs="Calibri"/>
          <w:sz w:val="24"/>
          <w:szCs w:val="24"/>
        </w:rPr>
        <w:t xml:space="preserve">E-consults available in at least five (5) specialties: be capable of asynchronous, consultative, provider-to-provider communications within a shared EHR or web-based platform between primary care and specialist providers over a secure electronic medium that involves sharing of patient-specific information and discussing clarification or guidance regarding targeted clinical care. </w:t>
      </w:r>
      <w:r w:rsidR="009A4307" w:rsidRPr="2D958F85">
        <w:rPr>
          <w:rFonts w:cs="Calibri"/>
          <w:sz w:val="24"/>
          <w:szCs w:val="24"/>
        </w:rPr>
        <w:t>E</w:t>
      </w:r>
      <w:r w:rsidRPr="2D958F85">
        <w:rPr>
          <w:rFonts w:cs="Calibri"/>
          <w:sz w:val="24"/>
          <w:szCs w:val="24"/>
        </w:rPr>
        <w:t xml:space="preserve">-consults </w:t>
      </w:r>
      <w:r w:rsidR="009A4307" w:rsidRPr="2D958F85">
        <w:rPr>
          <w:rFonts w:cs="Calibri"/>
          <w:sz w:val="24"/>
          <w:szCs w:val="24"/>
        </w:rPr>
        <w:t>shall</w:t>
      </w:r>
      <w:r w:rsidRPr="2D958F85">
        <w:rPr>
          <w:rFonts w:cs="Calibri"/>
          <w:sz w:val="24"/>
          <w:szCs w:val="24"/>
        </w:rPr>
        <w:t xml:space="preserve"> be available to clinical staff within the primary care practice to discuss with specialists in at least five (5) distinct and non-redundant ABMS-recognized specialties. For example, offering e-consults to multiple specialties with board certification under Internal Medicine, such as cardiology, endocrinology, and nephrology meets this requirement. On the other hand, multiple specialties with certification under a shared subspecialty would be considered redundant; for example, general cardiology, clinical cardiac electrophysiology, and interventional cardiology would not meet this requirement.</w:t>
      </w:r>
      <w:r w:rsidR="733EE326" w:rsidRPr="2D958F85">
        <w:rPr>
          <w:rFonts w:cs="Calibri"/>
          <w:sz w:val="24"/>
          <w:szCs w:val="24"/>
        </w:rPr>
        <w:t xml:space="preserve"> </w:t>
      </w:r>
    </w:p>
    <w:p w14:paraId="073C8F5B" w14:textId="52E7A8ED" w:rsidR="00F878D0" w:rsidRPr="00F878D0" w:rsidRDefault="42A36C9D" w:rsidP="00E74A37">
      <w:pPr>
        <w:numPr>
          <w:ilvl w:val="0"/>
          <w:numId w:val="5"/>
        </w:numPr>
        <w:spacing w:before="120" w:after="120"/>
        <w:ind w:left="1080"/>
        <w:rPr>
          <w:rFonts w:cs="Calibri"/>
          <w:sz w:val="24"/>
          <w:szCs w:val="24"/>
        </w:rPr>
      </w:pPr>
      <w:r w:rsidRPr="36AF73CC">
        <w:rPr>
          <w:rFonts w:cs="Calibri"/>
          <w:sz w:val="24"/>
          <w:szCs w:val="24"/>
        </w:rPr>
        <w:lastRenderedPageBreak/>
        <w:t xml:space="preserve">After-hours or weekend session: offer at least </w:t>
      </w:r>
      <w:r w:rsidR="5BA42A93" w:rsidRPr="36AF73CC">
        <w:rPr>
          <w:rFonts w:cs="Calibri"/>
          <w:sz w:val="24"/>
          <w:szCs w:val="24"/>
        </w:rPr>
        <w:t>12 hours</w:t>
      </w:r>
      <w:r w:rsidRPr="36AF73CC">
        <w:rPr>
          <w:rFonts w:cs="Calibri"/>
          <w:sz w:val="24"/>
          <w:szCs w:val="24"/>
        </w:rPr>
        <w:t xml:space="preserve"> for in-person or telehealth visits with regular practice providers during any of the following periods:</w:t>
      </w:r>
    </w:p>
    <w:p w14:paraId="39544497" w14:textId="28863C76" w:rsidR="00F878D0" w:rsidRPr="00F878D0" w:rsidRDefault="42A36C9D" w:rsidP="00BA3B92">
      <w:pPr>
        <w:numPr>
          <w:ilvl w:val="1"/>
          <w:numId w:val="5"/>
        </w:numPr>
        <w:ind w:left="1800"/>
        <w:rPr>
          <w:rFonts w:cs="Calibri"/>
          <w:sz w:val="24"/>
          <w:szCs w:val="24"/>
        </w:rPr>
      </w:pPr>
      <w:r w:rsidRPr="36AF73CC">
        <w:rPr>
          <w:rFonts w:cs="Calibri"/>
          <w:sz w:val="24"/>
          <w:szCs w:val="24"/>
        </w:rPr>
        <w:t xml:space="preserve">Monday through Friday: </w:t>
      </w:r>
      <w:r w:rsidR="620AC0F7" w:rsidRPr="36AF73CC">
        <w:rPr>
          <w:rFonts w:cs="Calibri"/>
          <w:sz w:val="24"/>
          <w:szCs w:val="24"/>
        </w:rPr>
        <w:t xml:space="preserve">Outside the hours of </w:t>
      </w:r>
      <w:r w:rsidR="61954C38" w:rsidRPr="36AF73CC">
        <w:rPr>
          <w:rFonts w:cs="Calibri"/>
          <w:sz w:val="24"/>
          <w:szCs w:val="24"/>
        </w:rPr>
        <w:t>8</w:t>
      </w:r>
      <w:r w:rsidR="19F25349" w:rsidRPr="36AF73CC">
        <w:rPr>
          <w:rFonts w:cs="Calibri"/>
          <w:sz w:val="24"/>
          <w:szCs w:val="24"/>
        </w:rPr>
        <w:t xml:space="preserve">:00 </w:t>
      </w:r>
      <w:r w:rsidR="61954C38" w:rsidRPr="36AF73CC">
        <w:rPr>
          <w:rFonts w:cs="Calibri"/>
          <w:sz w:val="24"/>
          <w:szCs w:val="24"/>
        </w:rPr>
        <w:t>a</w:t>
      </w:r>
      <w:r w:rsidR="19F25349" w:rsidRPr="36AF73CC">
        <w:rPr>
          <w:rFonts w:cs="Calibri"/>
          <w:sz w:val="24"/>
          <w:szCs w:val="24"/>
        </w:rPr>
        <w:t>.</w:t>
      </w:r>
      <w:r w:rsidRPr="36AF73CC">
        <w:rPr>
          <w:rFonts w:cs="Calibri"/>
          <w:sz w:val="24"/>
          <w:szCs w:val="24"/>
        </w:rPr>
        <w:t>m</w:t>
      </w:r>
      <w:r w:rsidR="19F25349" w:rsidRPr="36AF73CC">
        <w:rPr>
          <w:rFonts w:cs="Calibri"/>
          <w:sz w:val="24"/>
          <w:szCs w:val="24"/>
        </w:rPr>
        <w:t>.</w:t>
      </w:r>
      <w:r w:rsidR="61954C38" w:rsidRPr="36AF73CC">
        <w:rPr>
          <w:rFonts w:cs="Calibri"/>
          <w:sz w:val="24"/>
          <w:szCs w:val="24"/>
        </w:rPr>
        <w:t>-</w:t>
      </w:r>
      <w:r w:rsidR="0D5AF63A" w:rsidRPr="36AF73CC">
        <w:rPr>
          <w:rFonts w:cs="Calibri"/>
          <w:sz w:val="24"/>
          <w:szCs w:val="24"/>
        </w:rPr>
        <w:t>5:00 p.m.</w:t>
      </w:r>
      <w:r w:rsidRPr="36AF73CC">
        <w:rPr>
          <w:rFonts w:cs="Calibri"/>
          <w:sz w:val="24"/>
          <w:szCs w:val="24"/>
        </w:rPr>
        <w:t xml:space="preserve"> </w:t>
      </w:r>
    </w:p>
    <w:p w14:paraId="70D826F9" w14:textId="77777777" w:rsidR="00F878D0" w:rsidRPr="00F878D0" w:rsidRDefault="00F878D0" w:rsidP="00BA3B92">
      <w:pPr>
        <w:numPr>
          <w:ilvl w:val="1"/>
          <w:numId w:val="5"/>
        </w:numPr>
        <w:ind w:left="1800"/>
        <w:rPr>
          <w:rFonts w:cs="Calibri"/>
          <w:sz w:val="24"/>
          <w:szCs w:val="24"/>
        </w:rPr>
      </w:pPr>
      <w:r w:rsidRPr="00F878D0">
        <w:rPr>
          <w:rFonts w:cs="Calibri"/>
          <w:sz w:val="24"/>
          <w:szCs w:val="24"/>
        </w:rPr>
        <w:t>Saturday or Sunday: During any period of at least four hours</w:t>
      </w:r>
    </w:p>
    <w:p w14:paraId="5E6BCF0D" w14:textId="3429A7BD" w:rsidR="00F878D0" w:rsidRPr="009A4307" w:rsidRDefault="1F829C8F" w:rsidP="00BA3B92">
      <w:pPr>
        <w:pStyle w:val="ListParagraph"/>
        <w:spacing w:before="120" w:after="240"/>
        <w:ind w:left="1080"/>
        <w:rPr>
          <w:rFonts w:cs="Calibri"/>
          <w:sz w:val="24"/>
          <w:szCs w:val="24"/>
        </w:rPr>
      </w:pPr>
      <w:r w:rsidRPr="36AF73CC">
        <w:rPr>
          <w:rFonts w:cs="Calibri"/>
          <w:sz w:val="24"/>
          <w:szCs w:val="24"/>
        </w:rPr>
        <w:t xml:space="preserve">Providers staffing such sessions must have access to the practice’s EHR. Sessions cannot be those offered by a third-party or a group unaffiliated with the primary care practice or its patient population. At least </w:t>
      </w:r>
      <w:r w:rsidR="04973A62" w:rsidRPr="36AF73CC">
        <w:rPr>
          <w:rFonts w:cs="Calibri"/>
          <w:sz w:val="24"/>
          <w:szCs w:val="24"/>
        </w:rPr>
        <w:t>4 hours</w:t>
      </w:r>
      <w:r w:rsidRPr="36AF73CC">
        <w:rPr>
          <w:rFonts w:cs="Calibri"/>
          <w:sz w:val="24"/>
          <w:szCs w:val="24"/>
        </w:rPr>
        <w:t xml:space="preserve"> </w:t>
      </w:r>
      <w:r w:rsidR="62569F39" w:rsidRPr="36AF73CC">
        <w:rPr>
          <w:rFonts w:cs="Calibri"/>
          <w:sz w:val="24"/>
          <w:szCs w:val="24"/>
        </w:rPr>
        <w:t>shall</w:t>
      </w:r>
      <w:r w:rsidRPr="36AF73CC">
        <w:rPr>
          <w:rFonts w:cs="Calibri"/>
          <w:sz w:val="24"/>
          <w:szCs w:val="24"/>
        </w:rPr>
        <w:t xml:space="preserve"> be in-person.</w:t>
      </w:r>
      <w:r w:rsidR="62569F39" w:rsidRPr="36AF73CC">
        <w:rPr>
          <w:rFonts w:cs="Calibri"/>
          <w:sz w:val="24"/>
          <w:szCs w:val="24"/>
        </w:rPr>
        <w:t xml:space="preserve"> </w:t>
      </w:r>
      <w:r w:rsidRPr="36AF73CC">
        <w:rPr>
          <w:rFonts w:cs="Calibri"/>
          <w:sz w:val="24"/>
          <w:szCs w:val="24"/>
        </w:rPr>
        <w:t xml:space="preserve">At least </w:t>
      </w:r>
      <w:r w:rsidR="04973A62" w:rsidRPr="36AF73CC">
        <w:rPr>
          <w:rFonts w:cs="Calibri"/>
          <w:sz w:val="24"/>
          <w:szCs w:val="24"/>
        </w:rPr>
        <w:t>4 hours</w:t>
      </w:r>
      <w:r w:rsidRPr="36AF73CC">
        <w:rPr>
          <w:rFonts w:cs="Calibri"/>
          <w:sz w:val="24"/>
          <w:szCs w:val="24"/>
        </w:rPr>
        <w:t xml:space="preserve"> must fall on weekend day. </w:t>
      </w:r>
    </w:p>
    <w:p w14:paraId="12F417E1" w14:textId="36EC4CBB" w:rsidR="00F878D0" w:rsidRDefault="00F878D0" w:rsidP="00BA3B92">
      <w:pPr>
        <w:numPr>
          <w:ilvl w:val="0"/>
          <w:numId w:val="5"/>
        </w:numPr>
        <w:spacing w:before="120" w:after="120"/>
        <w:ind w:left="1080"/>
        <w:rPr>
          <w:rFonts w:cs="Calibri"/>
          <w:sz w:val="24"/>
          <w:szCs w:val="24"/>
        </w:rPr>
      </w:pPr>
      <w:r w:rsidRPr="00F878D0">
        <w:rPr>
          <w:rFonts w:cs="Calibri"/>
          <w:sz w:val="24"/>
          <w:szCs w:val="24"/>
        </w:rPr>
        <w:t>Three team-based staff roles: maintain at least three (3) team-based staff roles dedicated to the specific primary care site</w:t>
      </w:r>
      <w:r w:rsidR="009A4307">
        <w:rPr>
          <w:rFonts w:cs="Calibri"/>
          <w:sz w:val="24"/>
          <w:szCs w:val="24"/>
        </w:rPr>
        <w:t xml:space="preserve">, </w:t>
      </w:r>
    </w:p>
    <w:p w14:paraId="0D8EDD67" w14:textId="5605A253" w:rsidR="00724088" w:rsidRPr="00F878D0" w:rsidRDefault="00724088" w:rsidP="00BA3B92">
      <w:pPr>
        <w:numPr>
          <w:ilvl w:val="1"/>
          <w:numId w:val="5"/>
        </w:numPr>
        <w:ind w:left="1800"/>
        <w:rPr>
          <w:rFonts w:cs="Calibri"/>
          <w:sz w:val="24"/>
          <w:szCs w:val="24"/>
        </w:rPr>
      </w:pPr>
      <w:r w:rsidRPr="00F878D0">
        <w:rPr>
          <w:rFonts w:cs="Calibri"/>
          <w:sz w:val="24"/>
          <w:szCs w:val="24"/>
        </w:rPr>
        <w:t xml:space="preserve">At least one (1) </w:t>
      </w:r>
      <w:r w:rsidR="00554484">
        <w:rPr>
          <w:rFonts w:cs="Calibri"/>
          <w:sz w:val="24"/>
          <w:szCs w:val="24"/>
        </w:rPr>
        <w:t xml:space="preserve">staff </w:t>
      </w:r>
      <w:r w:rsidRPr="00F878D0">
        <w:rPr>
          <w:rFonts w:cs="Calibri"/>
          <w:sz w:val="24"/>
          <w:szCs w:val="24"/>
        </w:rPr>
        <w:t xml:space="preserve">role </w:t>
      </w:r>
      <w:r w:rsidR="00554484">
        <w:rPr>
          <w:rFonts w:cs="Calibri"/>
          <w:sz w:val="24"/>
          <w:szCs w:val="24"/>
        </w:rPr>
        <w:t>shall</w:t>
      </w:r>
      <w:r w:rsidRPr="00F878D0">
        <w:rPr>
          <w:rFonts w:cs="Calibri"/>
          <w:sz w:val="24"/>
          <w:szCs w:val="24"/>
        </w:rPr>
        <w:t xml:space="preserve"> be a licensed BH clinician (e.g., psychologist, LICSW, LCSW</w:t>
      </w:r>
      <w:r w:rsidR="00554484">
        <w:rPr>
          <w:rFonts w:cs="Calibri"/>
          <w:sz w:val="24"/>
          <w:szCs w:val="24"/>
        </w:rPr>
        <w:t>) that shall</w:t>
      </w:r>
      <w:r w:rsidR="00554484" w:rsidRPr="00F878D0">
        <w:rPr>
          <w:rFonts w:cs="Calibri"/>
          <w:sz w:val="24"/>
          <w:szCs w:val="24"/>
        </w:rPr>
        <w:t xml:space="preserve"> </w:t>
      </w:r>
      <w:r w:rsidR="00554484">
        <w:rPr>
          <w:rFonts w:cs="Calibri"/>
          <w:sz w:val="24"/>
          <w:szCs w:val="24"/>
        </w:rPr>
        <w:t>conduct at least a portion of their activities on-site and in-person</w:t>
      </w:r>
    </w:p>
    <w:p w14:paraId="2E04E9EC" w14:textId="7181A037" w:rsidR="00724088" w:rsidRDefault="00724088" w:rsidP="00BA3B92">
      <w:pPr>
        <w:numPr>
          <w:ilvl w:val="1"/>
          <w:numId w:val="5"/>
        </w:numPr>
        <w:ind w:left="1800"/>
        <w:rPr>
          <w:rFonts w:cs="Calibri"/>
          <w:sz w:val="24"/>
          <w:szCs w:val="24"/>
        </w:rPr>
      </w:pPr>
      <w:r w:rsidRPr="00F878D0">
        <w:rPr>
          <w:rFonts w:cs="Calibri"/>
          <w:sz w:val="24"/>
          <w:szCs w:val="24"/>
        </w:rPr>
        <w:t xml:space="preserve">At least one (1) </w:t>
      </w:r>
      <w:r w:rsidR="00554484">
        <w:rPr>
          <w:rFonts w:cs="Calibri"/>
          <w:sz w:val="24"/>
          <w:szCs w:val="24"/>
        </w:rPr>
        <w:t xml:space="preserve">staff </w:t>
      </w:r>
      <w:r w:rsidRPr="00F878D0">
        <w:rPr>
          <w:rFonts w:cs="Calibri"/>
          <w:sz w:val="24"/>
          <w:szCs w:val="24"/>
        </w:rPr>
        <w:t xml:space="preserve">role </w:t>
      </w:r>
      <w:r w:rsidR="00554484">
        <w:rPr>
          <w:rFonts w:cs="Calibri"/>
          <w:sz w:val="24"/>
          <w:szCs w:val="24"/>
        </w:rPr>
        <w:t>shall</w:t>
      </w:r>
      <w:r w:rsidRPr="00F878D0">
        <w:rPr>
          <w:rFonts w:cs="Calibri"/>
          <w:sz w:val="24"/>
          <w:szCs w:val="24"/>
        </w:rPr>
        <w:t xml:space="preserve"> be a peer, family navigator, CHW, or </w:t>
      </w:r>
      <w:r w:rsidR="00554484">
        <w:rPr>
          <w:rFonts w:cs="Calibri"/>
          <w:sz w:val="24"/>
          <w:szCs w:val="24"/>
        </w:rPr>
        <w:t>similar</w:t>
      </w:r>
      <w:r w:rsidRPr="00F878D0">
        <w:rPr>
          <w:rFonts w:cs="Calibri"/>
          <w:sz w:val="24"/>
          <w:szCs w:val="24"/>
        </w:rPr>
        <w:t xml:space="preserve">. </w:t>
      </w:r>
    </w:p>
    <w:p w14:paraId="6DDC1E8F" w14:textId="11BB3EC7" w:rsidR="00724088" w:rsidRPr="00F878D0" w:rsidRDefault="00554484" w:rsidP="00BA3B92">
      <w:pPr>
        <w:numPr>
          <w:ilvl w:val="1"/>
          <w:numId w:val="5"/>
        </w:numPr>
        <w:ind w:left="1800"/>
        <w:rPr>
          <w:rFonts w:cs="Calibri"/>
          <w:sz w:val="24"/>
          <w:szCs w:val="24"/>
        </w:rPr>
      </w:pPr>
      <w:r>
        <w:rPr>
          <w:rFonts w:cs="Calibri"/>
          <w:sz w:val="24"/>
          <w:szCs w:val="24"/>
        </w:rPr>
        <w:t>The other staff role(s) may be one of the following, or similar:</w:t>
      </w:r>
    </w:p>
    <w:p w14:paraId="308D35F5" w14:textId="77777777" w:rsidR="00724088" w:rsidRPr="00F878D0" w:rsidRDefault="00724088" w:rsidP="00E74A37">
      <w:pPr>
        <w:numPr>
          <w:ilvl w:val="2"/>
          <w:numId w:val="5"/>
        </w:numPr>
        <w:ind w:left="2520"/>
        <w:rPr>
          <w:rFonts w:cs="Calibri"/>
          <w:sz w:val="24"/>
          <w:szCs w:val="24"/>
        </w:rPr>
      </w:pPr>
      <w:r w:rsidRPr="00F878D0">
        <w:rPr>
          <w:rFonts w:cs="Calibri"/>
          <w:sz w:val="24"/>
          <w:szCs w:val="24"/>
        </w:rPr>
        <w:t>Peer (Certified Peer Specialist, Recovery Coach, Family Partner, Family Navigator)</w:t>
      </w:r>
    </w:p>
    <w:p w14:paraId="345BC1F6" w14:textId="77777777" w:rsidR="00724088" w:rsidRPr="00F878D0" w:rsidRDefault="00724088" w:rsidP="00E74A37">
      <w:pPr>
        <w:numPr>
          <w:ilvl w:val="2"/>
          <w:numId w:val="5"/>
        </w:numPr>
        <w:ind w:left="2520"/>
        <w:rPr>
          <w:rFonts w:cs="Calibri"/>
          <w:sz w:val="24"/>
          <w:szCs w:val="24"/>
        </w:rPr>
      </w:pPr>
      <w:r w:rsidRPr="00F878D0">
        <w:rPr>
          <w:rFonts w:cs="Calibri"/>
          <w:sz w:val="24"/>
          <w:szCs w:val="24"/>
        </w:rPr>
        <w:t>Social worker (LCSW, LICSW) or other master’s-prepared clinician such as a Master of Social Work (MSW)</w:t>
      </w:r>
    </w:p>
    <w:p w14:paraId="3F2CB88F" w14:textId="560DB9D3" w:rsidR="00724088" w:rsidRDefault="00724088" w:rsidP="00E74A37">
      <w:pPr>
        <w:numPr>
          <w:ilvl w:val="2"/>
          <w:numId w:val="5"/>
        </w:numPr>
        <w:spacing w:after="120"/>
        <w:ind w:left="2520"/>
        <w:rPr>
          <w:rFonts w:cs="Calibri"/>
          <w:sz w:val="24"/>
          <w:szCs w:val="24"/>
        </w:rPr>
      </w:pPr>
      <w:r w:rsidRPr="2D958F85">
        <w:rPr>
          <w:rFonts w:cs="Calibri"/>
          <w:sz w:val="24"/>
          <w:szCs w:val="24"/>
        </w:rPr>
        <w:t>Nurse case manager</w:t>
      </w:r>
      <w:r w:rsidR="0A6169B9" w:rsidRPr="2D958F85">
        <w:rPr>
          <w:rFonts w:cs="Calibri"/>
          <w:sz w:val="24"/>
          <w:szCs w:val="24"/>
        </w:rPr>
        <w:t xml:space="preserve"> </w:t>
      </w:r>
    </w:p>
    <w:p w14:paraId="3944C2FE" w14:textId="12D8A180" w:rsidR="00F878D0" w:rsidRPr="00F878D0" w:rsidRDefault="009A4307" w:rsidP="00E74A37">
      <w:pPr>
        <w:spacing w:before="120" w:after="120"/>
        <w:ind w:left="1080"/>
        <w:rPr>
          <w:rFonts w:cs="Calibri"/>
          <w:sz w:val="24"/>
          <w:szCs w:val="24"/>
        </w:rPr>
      </w:pPr>
      <w:r>
        <w:rPr>
          <w:rFonts w:cs="Calibri"/>
          <w:sz w:val="24"/>
          <w:szCs w:val="24"/>
        </w:rPr>
        <w:t>Such team-based roles shall:</w:t>
      </w:r>
    </w:p>
    <w:p w14:paraId="6C375DAE" w14:textId="4FC3E185" w:rsidR="00724088" w:rsidRDefault="009A4307" w:rsidP="00BA3B92">
      <w:pPr>
        <w:numPr>
          <w:ilvl w:val="1"/>
          <w:numId w:val="5"/>
        </w:numPr>
        <w:ind w:left="1800"/>
        <w:rPr>
          <w:rFonts w:cs="Calibri"/>
          <w:sz w:val="24"/>
          <w:szCs w:val="24"/>
        </w:rPr>
      </w:pPr>
      <w:r>
        <w:rPr>
          <w:rFonts w:cs="Calibri"/>
          <w:sz w:val="24"/>
          <w:szCs w:val="24"/>
        </w:rPr>
        <w:t>B</w:t>
      </w:r>
      <w:r w:rsidR="00F878D0" w:rsidRPr="00F878D0">
        <w:rPr>
          <w:rFonts w:cs="Calibri"/>
          <w:sz w:val="24"/>
          <w:szCs w:val="24"/>
        </w:rPr>
        <w:t xml:space="preserve">e available and doing work on behalf of the specific practice site for a minimum </w:t>
      </w:r>
      <w:r w:rsidR="00724088">
        <w:rPr>
          <w:rFonts w:cs="Calibri"/>
          <w:sz w:val="24"/>
          <w:szCs w:val="24"/>
        </w:rPr>
        <w:t xml:space="preserve">of </w:t>
      </w:r>
      <w:r w:rsidR="00F878D0" w:rsidRPr="00F878D0">
        <w:rPr>
          <w:rFonts w:cs="Calibri"/>
          <w:sz w:val="24"/>
          <w:szCs w:val="24"/>
        </w:rPr>
        <w:t>three (3) or more equivalent 4-hour sessions per week (</w:t>
      </w:r>
      <w:r w:rsidR="00CD6AB4" w:rsidRPr="00F878D0">
        <w:rPr>
          <w:rFonts w:cs="Calibri"/>
          <w:sz w:val="24"/>
          <w:szCs w:val="24"/>
        </w:rPr>
        <w:t>i.e.,</w:t>
      </w:r>
      <w:r w:rsidR="00F878D0" w:rsidRPr="00F878D0">
        <w:rPr>
          <w:rFonts w:cs="Calibri"/>
          <w:sz w:val="24"/>
          <w:szCs w:val="24"/>
        </w:rPr>
        <w:t xml:space="preserve"> </w:t>
      </w:r>
      <w:r w:rsidR="00F878D0" w:rsidRPr="00F878D0">
        <w:rPr>
          <w:rFonts w:cs="Calibri"/>
          <w:sz w:val="24"/>
          <w:szCs w:val="24"/>
          <w:u w:val="single"/>
        </w:rPr>
        <w:t>&gt;</w:t>
      </w:r>
      <w:r w:rsidR="00F878D0" w:rsidRPr="00F878D0">
        <w:rPr>
          <w:rFonts w:cs="Calibri"/>
          <w:sz w:val="24"/>
          <w:szCs w:val="24"/>
        </w:rPr>
        <w:t>0.3 FTE) individually</w:t>
      </w:r>
      <w:r w:rsidR="00724088">
        <w:rPr>
          <w:rFonts w:cs="Calibri"/>
          <w:sz w:val="24"/>
          <w:szCs w:val="24"/>
        </w:rPr>
        <w:t>,</w:t>
      </w:r>
      <w:r w:rsidR="00F878D0" w:rsidRPr="00F878D0">
        <w:rPr>
          <w:rFonts w:cs="Calibri"/>
          <w:sz w:val="24"/>
          <w:szCs w:val="24"/>
        </w:rPr>
        <w:t xml:space="preserve"> and at minimum collectively 1.0 FTE per the practice</w:t>
      </w:r>
      <w:r w:rsidR="00724088">
        <w:rPr>
          <w:rFonts w:cs="Calibri"/>
          <w:sz w:val="24"/>
          <w:szCs w:val="24"/>
        </w:rPr>
        <w:t>.</w:t>
      </w:r>
    </w:p>
    <w:p w14:paraId="1DF96337" w14:textId="183634BE" w:rsidR="00F878D0" w:rsidRPr="00F878D0" w:rsidRDefault="00724088" w:rsidP="00BA3B92">
      <w:pPr>
        <w:numPr>
          <w:ilvl w:val="1"/>
          <w:numId w:val="5"/>
        </w:numPr>
        <w:ind w:left="1800"/>
        <w:rPr>
          <w:rFonts w:cs="Calibri"/>
          <w:sz w:val="24"/>
          <w:szCs w:val="24"/>
        </w:rPr>
      </w:pPr>
      <w:r>
        <w:rPr>
          <w:rFonts w:cs="Calibri"/>
          <w:sz w:val="24"/>
          <w:szCs w:val="24"/>
        </w:rPr>
        <w:t xml:space="preserve">Conduct </w:t>
      </w:r>
      <w:r w:rsidRPr="00F878D0">
        <w:rPr>
          <w:rFonts w:cs="Calibri"/>
          <w:sz w:val="24"/>
          <w:szCs w:val="24"/>
        </w:rPr>
        <w:t xml:space="preserve">activities such as </w:t>
      </w:r>
      <w:r>
        <w:rPr>
          <w:rFonts w:cs="Calibri"/>
          <w:sz w:val="24"/>
          <w:szCs w:val="24"/>
        </w:rPr>
        <w:t xml:space="preserve">but not limited to </w:t>
      </w:r>
      <w:r w:rsidR="00F878D0" w:rsidRPr="00F878D0">
        <w:rPr>
          <w:rFonts w:cs="Calibri"/>
          <w:sz w:val="24"/>
          <w:szCs w:val="24"/>
        </w:rPr>
        <w:t xml:space="preserve">team-based huddles, activities on behalf of patients at the site, or patient-facing activities. </w:t>
      </w:r>
    </w:p>
    <w:p w14:paraId="035FFFC3" w14:textId="51A1191C" w:rsidR="00F878D0" w:rsidRPr="00F878D0" w:rsidRDefault="79A4183F" w:rsidP="00BA3B92">
      <w:pPr>
        <w:numPr>
          <w:ilvl w:val="1"/>
          <w:numId w:val="5"/>
        </w:numPr>
        <w:ind w:left="1800"/>
        <w:rPr>
          <w:rFonts w:cs="Calibri"/>
          <w:sz w:val="24"/>
          <w:szCs w:val="24"/>
        </w:rPr>
      </w:pPr>
      <w:r w:rsidRPr="02609728">
        <w:rPr>
          <w:rFonts w:cs="Calibri"/>
          <w:sz w:val="24"/>
          <w:szCs w:val="24"/>
        </w:rPr>
        <w:t xml:space="preserve">For </w:t>
      </w:r>
      <w:r w:rsidR="42A36C9D" w:rsidRPr="02609728">
        <w:rPr>
          <w:rFonts w:cs="Calibri"/>
          <w:sz w:val="24"/>
          <w:szCs w:val="24"/>
        </w:rPr>
        <w:t>at least one</w:t>
      </w:r>
      <w:r w:rsidRPr="02609728">
        <w:rPr>
          <w:rFonts w:cs="Calibri"/>
          <w:sz w:val="24"/>
          <w:szCs w:val="24"/>
        </w:rPr>
        <w:t xml:space="preserve"> staff role,</w:t>
      </w:r>
      <w:r w:rsidR="42A36C9D" w:rsidRPr="02609728">
        <w:rPr>
          <w:rFonts w:cs="Calibri"/>
          <w:sz w:val="24"/>
          <w:szCs w:val="24"/>
        </w:rPr>
        <w:t xml:space="preserve"> </w:t>
      </w:r>
      <w:r w:rsidRPr="02609728">
        <w:rPr>
          <w:rFonts w:cs="Calibri"/>
          <w:sz w:val="24"/>
          <w:szCs w:val="24"/>
        </w:rPr>
        <w:t>be on-site and in-person</w:t>
      </w:r>
      <w:r w:rsidR="42A36C9D" w:rsidRPr="02609728">
        <w:rPr>
          <w:rFonts w:cs="Calibri"/>
          <w:sz w:val="24"/>
          <w:szCs w:val="24"/>
        </w:rPr>
        <w:t xml:space="preserve">. </w:t>
      </w:r>
    </w:p>
    <w:p w14:paraId="14E399F5" w14:textId="1A78328A" w:rsidR="00F878D0" w:rsidRPr="00F878D0" w:rsidRDefault="00724088" w:rsidP="00BA3B92">
      <w:pPr>
        <w:numPr>
          <w:ilvl w:val="1"/>
          <w:numId w:val="5"/>
        </w:numPr>
        <w:ind w:left="1800"/>
        <w:rPr>
          <w:rFonts w:cs="Calibri"/>
          <w:sz w:val="24"/>
          <w:szCs w:val="24"/>
        </w:rPr>
      </w:pPr>
      <w:r>
        <w:rPr>
          <w:rFonts w:cs="Calibri"/>
          <w:sz w:val="24"/>
          <w:szCs w:val="24"/>
        </w:rPr>
        <w:t>Collectively</w:t>
      </w:r>
      <w:r w:rsidR="00F878D0" w:rsidRPr="00F878D0">
        <w:rPr>
          <w:rFonts w:cs="Calibri"/>
          <w:sz w:val="24"/>
          <w:szCs w:val="24"/>
        </w:rPr>
        <w:t xml:space="preserve">, </w:t>
      </w:r>
      <w:r>
        <w:rPr>
          <w:rFonts w:cs="Calibri"/>
          <w:sz w:val="24"/>
          <w:szCs w:val="24"/>
        </w:rPr>
        <w:t>ensure at</w:t>
      </w:r>
      <w:r w:rsidR="00F878D0" w:rsidRPr="00F878D0">
        <w:rPr>
          <w:rFonts w:cs="Calibri"/>
          <w:sz w:val="24"/>
          <w:szCs w:val="24"/>
        </w:rPr>
        <w:t xml:space="preserve"> least one (1) </w:t>
      </w:r>
      <w:r>
        <w:rPr>
          <w:rFonts w:cs="Calibri"/>
          <w:sz w:val="24"/>
          <w:szCs w:val="24"/>
        </w:rPr>
        <w:t>staff role is available and dedicated to the practice at</w:t>
      </w:r>
      <w:r w:rsidR="00F878D0" w:rsidRPr="00F878D0">
        <w:rPr>
          <w:rFonts w:cs="Calibri"/>
          <w:sz w:val="24"/>
          <w:szCs w:val="24"/>
        </w:rPr>
        <w:t xml:space="preserve"> each of the 10 usual business hour sessions (Monday through Friday, mornings and afternoons). </w:t>
      </w:r>
    </w:p>
    <w:p w14:paraId="7A9615BB" w14:textId="0C114D38" w:rsidR="00F878D0" w:rsidRPr="00F878D0" w:rsidRDefault="00724088" w:rsidP="00BA3B92">
      <w:pPr>
        <w:numPr>
          <w:ilvl w:val="1"/>
          <w:numId w:val="5"/>
        </w:numPr>
        <w:spacing w:after="240"/>
        <w:ind w:left="1800"/>
        <w:rPr>
          <w:rFonts w:cs="Calibri"/>
          <w:sz w:val="24"/>
          <w:szCs w:val="24"/>
        </w:rPr>
      </w:pPr>
      <w:r w:rsidRPr="2D958F85">
        <w:rPr>
          <w:rFonts w:cs="Calibri"/>
          <w:sz w:val="24"/>
          <w:szCs w:val="24"/>
        </w:rPr>
        <w:t>All p</w:t>
      </w:r>
      <w:r w:rsidR="00F878D0" w:rsidRPr="2D958F85">
        <w:rPr>
          <w:rFonts w:cs="Calibri"/>
          <w:sz w:val="24"/>
          <w:szCs w:val="24"/>
        </w:rPr>
        <w:t>articipate in regular team activities such as team huddles (i.e., standing team meetings for the purpose of pre-visit planning), population health management, and/or process improvement</w:t>
      </w:r>
      <w:r w:rsidR="733EE326" w:rsidRPr="2D958F85">
        <w:rPr>
          <w:rFonts w:cs="Calibri"/>
          <w:sz w:val="24"/>
          <w:szCs w:val="24"/>
        </w:rPr>
        <w:t xml:space="preserve"> </w:t>
      </w:r>
    </w:p>
    <w:p w14:paraId="62578578" w14:textId="5176CE01" w:rsidR="00F878D0" w:rsidRPr="00F878D0" w:rsidRDefault="42A36C9D" w:rsidP="00BA3B92">
      <w:pPr>
        <w:numPr>
          <w:ilvl w:val="0"/>
          <w:numId w:val="5"/>
        </w:numPr>
        <w:spacing w:before="120" w:after="120"/>
        <w:ind w:left="1080"/>
        <w:rPr>
          <w:rFonts w:cs="Calibri"/>
          <w:sz w:val="24"/>
          <w:szCs w:val="24"/>
        </w:rPr>
      </w:pPr>
      <w:r w:rsidRPr="36AF73CC">
        <w:rPr>
          <w:rFonts w:cs="Calibri"/>
          <w:sz w:val="24"/>
          <w:szCs w:val="24"/>
        </w:rPr>
        <w:t xml:space="preserve">Maintain a consulting BH clinician with prescribing capability: maintain a dedicated and accessible consulting BH clinician on-site or virtually with prescribing capability available to assist the practice with cases of moderate and rising complexity. </w:t>
      </w:r>
      <w:r w:rsidR="6778B957" w:rsidRPr="36AF73CC">
        <w:rPr>
          <w:rFonts w:cs="Calibri"/>
          <w:sz w:val="24"/>
          <w:szCs w:val="24"/>
        </w:rPr>
        <w:t>Such BH clinician shall:</w:t>
      </w:r>
    </w:p>
    <w:p w14:paraId="52A8272E" w14:textId="25E8619E" w:rsidR="00F878D0" w:rsidRPr="00F878D0" w:rsidRDefault="00554484" w:rsidP="00BA3B92">
      <w:pPr>
        <w:numPr>
          <w:ilvl w:val="1"/>
          <w:numId w:val="5"/>
        </w:numPr>
        <w:ind w:left="1800"/>
        <w:rPr>
          <w:rFonts w:cs="Calibri"/>
          <w:sz w:val="24"/>
          <w:szCs w:val="24"/>
        </w:rPr>
      </w:pPr>
      <w:r>
        <w:rPr>
          <w:rFonts w:cs="Calibri"/>
          <w:sz w:val="24"/>
          <w:szCs w:val="24"/>
        </w:rPr>
        <w:t>H</w:t>
      </w:r>
      <w:r w:rsidR="00F878D0" w:rsidRPr="00F878D0">
        <w:rPr>
          <w:rFonts w:cs="Calibri"/>
          <w:sz w:val="24"/>
          <w:szCs w:val="24"/>
        </w:rPr>
        <w:t>ave familiarity with titration of BH medications (e.g., psychiatrist or psychiatric clinical nurse practitioner).</w:t>
      </w:r>
    </w:p>
    <w:p w14:paraId="17F400B5" w14:textId="417DF71D" w:rsidR="00F878D0" w:rsidRDefault="00554484" w:rsidP="00E74A37">
      <w:pPr>
        <w:numPr>
          <w:ilvl w:val="1"/>
          <w:numId w:val="5"/>
        </w:numPr>
        <w:spacing w:after="240"/>
        <w:ind w:left="1800"/>
        <w:rPr>
          <w:rFonts w:cs="Calibri"/>
          <w:sz w:val="24"/>
          <w:szCs w:val="24"/>
        </w:rPr>
      </w:pPr>
      <w:r>
        <w:rPr>
          <w:rFonts w:cs="Calibri"/>
          <w:sz w:val="24"/>
          <w:szCs w:val="24"/>
        </w:rPr>
        <w:t>B</w:t>
      </w:r>
      <w:r w:rsidR="00F878D0" w:rsidRPr="00F878D0">
        <w:rPr>
          <w:rFonts w:cs="Calibri"/>
          <w:sz w:val="24"/>
          <w:szCs w:val="24"/>
        </w:rPr>
        <w:t xml:space="preserve">e regularly available </w:t>
      </w:r>
      <w:r w:rsidR="00BB7283">
        <w:rPr>
          <w:rFonts w:cs="Calibri"/>
          <w:sz w:val="24"/>
          <w:szCs w:val="24"/>
        </w:rPr>
        <w:t>for activities including but not limited to</w:t>
      </w:r>
      <w:r w:rsidR="00F878D0" w:rsidRPr="00F878D0">
        <w:rPr>
          <w:rFonts w:cs="Calibri"/>
          <w:sz w:val="24"/>
          <w:szCs w:val="24"/>
        </w:rPr>
        <w:t xml:space="preserve"> making appointments on behalf of the practice in the same week, participating in case management activities, answering practice queries within two (2) business days, and assisting with co-management of referred cases </w:t>
      </w:r>
    </w:p>
    <w:p w14:paraId="44186F32" w14:textId="01BC342B" w:rsidR="00202242" w:rsidRPr="00F878D0" w:rsidRDefault="00202242" w:rsidP="0389DC50">
      <w:pPr>
        <w:spacing w:after="240"/>
        <w:rPr>
          <w:rFonts w:cs="Calibri"/>
          <w:sz w:val="24"/>
          <w:szCs w:val="24"/>
        </w:rPr>
      </w:pPr>
    </w:p>
    <w:p w14:paraId="53F4D5CB" w14:textId="59EA5C9E" w:rsidR="00F878D0" w:rsidRPr="00093B9E" w:rsidRDefault="00F878D0" w:rsidP="00806FAA">
      <w:pPr>
        <w:pStyle w:val="ListParagraph"/>
        <w:numPr>
          <w:ilvl w:val="0"/>
          <w:numId w:val="22"/>
        </w:numPr>
        <w:spacing w:before="120" w:after="120"/>
        <w:rPr>
          <w:b/>
          <w:sz w:val="24"/>
          <w:szCs w:val="24"/>
        </w:rPr>
      </w:pPr>
      <w:r w:rsidRPr="00093B9E">
        <w:rPr>
          <w:b/>
          <w:sz w:val="24"/>
          <w:szCs w:val="24"/>
        </w:rPr>
        <w:t>Population Specific Expectations</w:t>
      </w:r>
    </w:p>
    <w:p w14:paraId="7B1664D8" w14:textId="77777777" w:rsidR="00A369B7" w:rsidRPr="00A369B7" w:rsidRDefault="00A369B7" w:rsidP="00806FAA">
      <w:pPr>
        <w:spacing w:before="120" w:after="120"/>
        <w:ind w:left="360" w:right="720"/>
        <w:rPr>
          <w:rFonts w:cs="Calibri"/>
          <w:i/>
          <w:sz w:val="24"/>
          <w:szCs w:val="24"/>
        </w:rPr>
      </w:pPr>
      <w:bookmarkStart w:id="9" w:name="_Hlk100644818"/>
      <w:r w:rsidRPr="00A369B7">
        <w:rPr>
          <w:rFonts w:cs="Calibri"/>
          <w:i/>
          <w:sz w:val="24"/>
          <w:szCs w:val="24"/>
        </w:rPr>
        <w:t xml:space="preserve">Practices serving Enrollees </w:t>
      </w:r>
      <w:r w:rsidRPr="00A369B7">
        <w:rPr>
          <w:rFonts w:cs="Calibri"/>
          <w:i/>
          <w:iCs/>
          <w:sz w:val="24"/>
          <w:szCs w:val="24"/>
        </w:rPr>
        <w:t xml:space="preserve">21 </w:t>
      </w:r>
      <w:r w:rsidRPr="00A369B7">
        <w:rPr>
          <w:rFonts w:cs="Calibri"/>
          <w:i/>
          <w:sz w:val="24"/>
          <w:szCs w:val="24"/>
        </w:rPr>
        <w:t xml:space="preserve">years </w:t>
      </w:r>
      <w:r w:rsidRPr="00A369B7">
        <w:rPr>
          <w:rFonts w:cs="Calibri"/>
          <w:i/>
          <w:iCs/>
          <w:sz w:val="24"/>
          <w:szCs w:val="24"/>
        </w:rPr>
        <w:t>of</w:t>
      </w:r>
      <w:r w:rsidRPr="00A369B7">
        <w:rPr>
          <w:rFonts w:cs="Calibri"/>
          <w:i/>
          <w:sz w:val="24"/>
          <w:szCs w:val="24"/>
        </w:rPr>
        <w:t xml:space="preserve"> age or younger shall:</w:t>
      </w:r>
      <w:bookmarkEnd w:id="9"/>
    </w:p>
    <w:p w14:paraId="0B70A938" w14:textId="69B2AE6B" w:rsidR="00F878D0" w:rsidRPr="00F878D0" w:rsidRDefault="42A36C9D" w:rsidP="00BA3B92">
      <w:pPr>
        <w:numPr>
          <w:ilvl w:val="0"/>
          <w:numId w:val="6"/>
        </w:numPr>
        <w:spacing w:before="120" w:after="240"/>
        <w:ind w:left="1080"/>
        <w:rPr>
          <w:rFonts w:cs="Calibri"/>
          <w:sz w:val="24"/>
          <w:szCs w:val="24"/>
        </w:rPr>
      </w:pPr>
      <w:r w:rsidRPr="02609728">
        <w:rPr>
          <w:rFonts w:cs="Calibri"/>
          <w:sz w:val="24"/>
          <w:szCs w:val="24"/>
        </w:rPr>
        <w:t>Full-time, on-site staff with children, youth, and family-specific expertise: identify at least one on-site non-clinic</w:t>
      </w:r>
      <w:r w:rsidR="493DBD7F" w:rsidRPr="02609728">
        <w:rPr>
          <w:rFonts w:cs="Calibri"/>
          <w:sz w:val="24"/>
          <w:szCs w:val="24"/>
        </w:rPr>
        <w:t>al</w:t>
      </w:r>
      <w:r w:rsidRPr="02609728">
        <w:rPr>
          <w:rFonts w:cs="Calibri"/>
          <w:sz w:val="24"/>
          <w:szCs w:val="24"/>
        </w:rPr>
        <w:t xml:space="preserve"> team member with experience addressing BH and HRSN of children, youth, and families in a health care setting and/or with specialized degree, license, training, or certification in such work. </w:t>
      </w:r>
      <w:r w:rsidR="493DBD7F" w:rsidRPr="02609728">
        <w:rPr>
          <w:rFonts w:cs="Calibri"/>
          <w:sz w:val="24"/>
          <w:szCs w:val="24"/>
        </w:rPr>
        <w:t>Such staff shall be available on-site in-person</w:t>
      </w:r>
      <w:r w:rsidRPr="02609728">
        <w:rPr>
          <w:rFonts w:cs="Calibri"/>
          <w:sz w:val="24"/>
          <w:szCs w:val="24"/>
        </w:rPr>
        <w:t xml:space="preserve"> during normal business hours (Monday through Friday, mornings and afternoons)</w:t>
      </w:r>
      <w:r w:rsidR="493DBD7F" w:rsidRPr="02609728">
        <w:rPr>
          <w:rFonts w:cs="Calibri"/>
          <w:sz w:val="24"/>
          <w:szCs w:val="24"/>
        </w:rPr>
        <w:t xml:space="preserve">, and shall be </w:t>
      </w:r>
      <w:r w:rsidRPr="02609728">
        <w:rPr>
          <w:rFonts w:cs="Calibri"/>
          <w:sz w:val="24"/>
          <w:szCs w:val="24"/>
        </w:rPr>
        <w:t>responsible for communicating with and being the site’s primary and reliable point of contact to the CBHI program, FRCs, and schools/early childhood education settings.</w:t>
      </w:r>
    </w:p>
    <w:p w14:paraId="5170E1DC" w14:textId="79DA90F7" w:rsidR="00F878D0" w:rsidRPr="00F878D0" w:rsidRDefault="00F878D0" w:rsidP="00BA3B92">
      <w:pPr>
        <w:numPr>
          <w:ilvl w:val="0"/>
          <w:numId w:val="6"/>
        </w:numPr>
        <w:spacing w:before="120" w:after="240"/>
        <w:ind w:left="1080"/>
        <w:rPr>
          <w:rFonts w:cs="Calibri"/>
          <w:sz w:val="24"/>
          <w:szCs w:val="24"/>
        </w:rPr>
      </w:pPr>
      <w:r w:rsidRPr="36AF73CC">
        <w:rPr>
          <w:rFonts w:cs="Calibri"/>
          <w:sz w:val="24"/>
          <w:szCs w:val="24"/>
        </w:rPr>
        <w:t xml:space="preserve">LARC provision, at least one (1) option: </w:t>
      </w:r>
      <w:r w:rsidR="00F13F57" w:rsidRPr="36AF73CC">
        <w:rPr>
          <w:rFonts w:cs="Calibri"/>
          <w:sz w:val="24"/>
          <w:szCs w:val="24"/>
        </w:rPr>
        <w:t>h</w:t>
      </w:r>
      <w:r w:rsidRPr="36AF73CC">
        <w:rPr>
          <w:rFonts w:cs="Calibri"/>
          <w:sz w:val="24"/>
          <w:szCs w:val="24"/>
        </w:rPr>
        <w:t xml:space="preserve">ave the ability </w:t>
      </w:r>
      <w:r w:rsidR="00F13F57" w:rsidRPr="36AF73CC">
        <w:rPr>
          <w:rFonts w:cs="Calibri"/>
          <w:sz w:val="24"/>
          <w:szCs w:val="24"/>
        </w:rPr>
        <w:t xml:space="preserve">on-site </w:t>
      </w:r>
      <w:r w:rsidRPr="36AF73CC">
        <w:rPr>
          <w:rFonts w:cs="Calibri"/>
          <w:sz w:val="24"/>
          <w:szCs w:val="24"/>
        </w:rPr>
        <w:t xml:space="preserve">to insert at least one type of LARC (e.g., intrauterine device or subdermal implant). This service </w:t>
      </w:r>
      <w:r w:rsidR="00F13F57" w:rsidRPr="36AF73CC">
        <w:rPr>
          <w:rFonts w:cs="Calibri"/>
          <w:sz w:val="24"/>
          <w:szCs w:val="24"/>
        </w:rPr>
        <w:t>shall</w:t>
      </w:r>
      <w:r w:rsidRPr="36AF73CC">
        <w:rPr>
          <w:rFonts w:cs="Calibri"/>
          <w:sz w:val="24"/>
          <w:szCs w:val="24"/>
        </w:rPr>
        <w:t xml:space="preserve"> be available on-site during normal business hours at least one session every other week (i.e., twice monthly). </w:t>
      </w:r>
      <w:r w:rsidR="005E3224" w:rsidRPr="36AF73CC">
        <w:rPr>
          <w:rFonts w:cs="Calibri"/>
          <w:sz w:val="24"/>
          <w:szCs w:val="24"/>
        </w:rPr>
        <w:t>Enrollees must be able to access this requirement on-site.</w:t>
      </w:r>
    </w:p>
    <w:p w14:paraId="295FC83D" w14:textId="65714B45" w:rsidR="00F878D0" w:rsidRPr="00F13F57" w:rsidRDefault="64266646" w:rsidP="00BA3B92">
      <w:pPr>
        <w:numPr>
          <w:ilvl w:val="0"/>
          <w:numId w:val="6"/>
        </w:numPr>
        <w:spacing w:before="120" w:after="240"/>
        <w:ind w:left="1080"/>
        <w:rPr>
          <w:rFonts w:cs="Calibri"/>
          <w:sz w:val="24"/>
          <w:szCs w:val="24"/>
        </w:rPr>
      </w:pPr>
      <w:r w:rsidRPr="36AF73CC">
        <w:rPr>
          <w:rFonts w:cs="Calibri"/>
          <w:sz w:val="24"/>
          <w:szCs w:val="24"/>
        </w:rPr>
        <w:t xml:space="preserve">Active Buprenorphine Availability: </w:t>
      </w:r>
      <w:r w:rsidR="346E0880" w:rsidRPr="36AF73CC">
        <w:rPr>
          <w:rFonts w:cs="Calibri"/>
          <w:sz w:val="24"/>
          <w:szCs w:val="24"/>
        </w:rPr>
        <w:t xml:space="preserve">must </w:t>
      </w:r>
      <w:r w:rsidR="4F5C9242" w:rsidRPr="36AF73CC">
        <w:rPr>
          <w:rFonts w:cs="Calibri"/>
          <w:sz w:val="24"/>
          <w:szCs w:val="24"/>
        </w:rPr>
        <w:t>h</w:t>
      </w:r>
      <w:r w:rsidRPr="36AF73CC">
        <w:rPr>
          <w:rFonts w:cs="Calibri"/>
          <w:sz w:val="24"/>
          <w:szCs w:val="24"/>
        </w:rPr>
        <w:t>ave at least one (1) provider actively prescribing buprenorphine for management of opioid use disorder to patients with opioid use disorder, as clinically indicated</w:t>
      </w:r>
      <w:r w:rsidR="7D9C3A17" w:rsidRPr="36AF73CC">
        <w:rPr>
          <w:rFonts w:cs="Calibri"/>
          <w:sz w:val="24"/>
          <w:szCs w:val="24"/>
        </w:rPr>
        <w:t>.</w:t>
      </w:r>
      <w:r w:rsidR="4F5C9242" w:rsidRPr="36AF73CC">
        <w:rPr>
          <w:rFonts w:cs="Calibri"/>
          <w:sz w:val="24"/>
          <w:szCs w:val="24"/>
        </w:rPr>
        <w:t xml:space="preserve"> </w:t>
      </w:r>
      <w:r w:rsidR="7D9C3A17" w:rsidRPr="36AF73CC">
        <w:rPr>
          <w:rFonts w:cs="Calibri"/>
          <w:sz w:val="24"/>
          <w:szCs w:val="24"/>
        </w:rPr>
        <w:t xml:space="preserve">Actively prescribing means that a provider is either currently prescribing buprenorphine for enrollees at the practice, or is willing and able to </w:t>
      </w:r>
      <w:proofErr w:type="gramStart"/>
      <w:r w:rsidR="7D9C3A17" w:rsidRPr="36AF73CC">
        <w:rPr>
          <w:rFonts w:cs="Calibri"/>
          <w:sz w:val="24"/>
          <w:szCs w:val="24"/>
        </w:rPr>
        <w:t>if and when</w:t>
      </w:r>
      <w:proofErr w:type="gramEnd"/>
      <w:r w:rsidR="7D9C3A17" w:rsidRPr="36AF73CC">
        <w:rPr>
          <w:rFonts w:cs="Calibri"/>
          <w:sz w:val="24"/>
          <w:szCs w:val="24"/>
        </w:rPr>
        <w:t xml:space="preserve"> any </w:t>
      </w:r>
      <w:r w:rsidR="568B4C44" w:rsidRPr="36AF73CC">
        <w:rPr>
          <w:rFonts w:cs="Calibri"/>
          <w:sz w:val="24"/>
          <w:szCs w:val="24"/>
        </w:rPr>
        <w:t>E</w:t>
      </w:r>
      <w:r w:rsidR="7D9C3A17" w:rsidRPr="36AF73CC">
        <w:rPr>
          <w:rFonts w:cs="Calibri"/>
          <w:sz w:val="24"/>
          <w:szCs w:val="24"/>
        </w:rPr>
        <w:t xml:space="preserve">nrollee is in need of this service without having to refer the </w:t>
      </w:r>
      <w:r w:rsidR="568B4C44" w:rsidRPr="36AF73CC">
        <w:rPr>
          <w:rFonts w:cs="Calibri"/>
          <w:sz w:val="24"/>
          <w:szCs w:val="24"/>
        </w:rPr>
        <w:t>E</w:t>
      </w:r>
      <w:r w:rsidR="7D9C3A17" w:rsidRPr="36AF73CC">
        <w:rPr>
          <w:rFonts w:cs="Calibri"/>
          <w:sz w:val="24"/>
          <w:szCs w:val="24"/>
        </w:rPr>
        <w:t xml:space="preserve">nrollee to another location. This provider shall be available to patients in the practice on at least a weekly basis. Providing referrals to SUD care or maintaining agreements with other providers or practices at a different location </w:t>
      </w:r>
      <w:r w:rsidR="7D9C3A17" w:rsidRPr="36AF73CC">
        <w:rPr>
          <w:rFonts w:cs="Calibri"/>
          <w:sz w:val="24"/>
          <w:szCs w:val="24"/>
          <w:u w:val="single"/>
        </w:rPr>
        <w:t xml:space="preserve">does not </w:t>
      </w:r>
      <w:r w:rsidR="7D9C3A17" w:rsidRPr="36AF73CC">
        <w:rPr>
          <w:rFonts w:cs="Calibri"/>
          <w:sz w:val="24"/>
          <w:szCs w:val="24"/>
        </w:rPr>
        <w:t xml:space="preserve">meet this requirement. </w:t>
      </w:r>
      <w:r w:rsidRPr="36AF73CC">
        <w:rPr>
          <w:rFonts w:cs="Calibri"/>
          <w:sz w:val="24"/>
          <w:szCs w:val="24"/>
        </w:rPr>
        <w:t xml:space="preserve">Providers may leverage the partnership and guidance of MCPAP for guidance on prescribing buprenorphine: </w:t>
      </w:r>
      <w:hyperlink r:id="rId31">
        <w:r w:rsidR="6D63A685" w:rsidRPr="36AF73CC">
          <w:rPr>
            <w:rStyle w:val="Hyperlink"/>
            <w:rFonts w:cs="Calibri"/>
            <w:sz w:val="24"/>
            <w:szCs w:val="24"/>
          </w:rPr>
          <w:t>www.mcpap.com</w:t>
        </w:r>
      </w:hyperlink>
      <w:r w:rsidR="280AFF3B" w:rsidRPr="36AF73CC">
        <w:rPr>
          <w:rFonts w:cs="Calibri"/>
          <w:sz w:val="24"/>
          <w:szCs w:val="24"/>
        </w:rPr>
        <w:t>.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1ECEAAC5" w14:textId="5D9842AF" w:rsidR="00A369B7" w:rsidRPr="00A369B7" w:rsidRDefault="00A369B7" w:rsidP="00806FAA">
      <w:pPr>
        <w:spacing w:before="120" w:after="120"/>
        <w:ind w:left="360" w:right="720"/>
        <w:rPr>
          <w:rFonts w:cs="Calibri"/>
          <w:i/>
          <w:sz w:val="24"/>
          <w:szCs w:val="24"/>
        </w:rPr>
      </w:pPr>
      <w:bookmarkStart w:id="10" w:name="_Hlk100644919"/>
      <w:r w:rsidRPr="00A369B7">
        <w:rPr>
          <w:rFonts w:cs="Calibri"/>
          <w:i/>
          <w:sz w:val="24"/>
          <w:szCs w:val="24"/>
        </w:rPr>
        <w:t xml:space="preserve">Practices serving Enrollees ages 21-65 shall:  </w:t>
      </w:r>
      <w:bookmarkEnd w:id="10"/>
    </w:p>
    <w:p w14:paraId="391A95FA" w14:textId="41B6CCF2" w:rsidR="00F878D0" w:rsidRDefault="00F878D0" w:rsidP="00BA3B92">
      <w:pPr>
        <w:numPr>
          <w:ilvl w:val="0"/>
          <w:numId w:val="7"/>
        </w:numPr>
        <w:spacing w:before="120" w:after="240"/>
        <w:rPr>
          <w:rFonts w:cs="Calibri"/>
          <w:sz w:val="24"/>
          <w:szCs w:val="24"/>
        </w:rPr>
      </w:pPr>
      <w:r w:rsidRPr="36AF73CC">
        <w:rPr>
          <w:rFonts w:cs="Calibri"/>
          <w:sz w:val="24"/>
          <w:szCs w:val="24"/>
        </w:rPr>
        <w:t xml:space="preserve">LARC provision, multiple options: have the ability </w:t>
      </w:r>
      <w:r w:rsidR="006F3208" w:rsidRPr="36AF73CC">
        <w:rPr>
          <w:rFonts w:cs="Calibri"/>
          <w:sz w:val="24"/>
          <w:szCs w:val="24"/>
        </w:rPr>
        <w:t xml:space="preserve">on-site </w:t>
      </w:r>
      <w:r w:rsidRPr="36AF73CC">
        <w:rPr>
          <w:rFonts w:cs="Calibri"/>
          <w:sz w:val="24"/>
          <w:szCs w:val="24"/>
        </w:rPr>
        <w:t xml:space="preserve">to insert multiple forms of LARC (e.g., intrauterine device and subdermal implant). This service </w:t>
      </w:r>
      <w:r w:rsidR="006F3208" w:rsidRPr="36AF73CC">
        <w:rPr>
          <w:rFonts w:cs="Calibri"/>
          <w:sz w:val="24"/>
          <w:szCs w:val="24"/>
        </w:rPr>
        <w:t>shall</w:t>
      </w:r>
      <w:r w:rsidRPr="36AF73CC">
        <w:rPr>
          <w:rFonts w:cs="Calibri"/>
          <w:sz w:val="24"/>
          <w:szCs w:val="24"/>
        </w:rPr>
        <w:t xml:space="preserve"> be available on-site during normal business hours at least one (1) session per week. </w:t>
      </w:r>
      <w:r w:rsidR="002933DF" w:rsidRPr="36AF73CC">
        <w:rPr>
          <w:rFonts w:cs="Calibri"/>
          <w:sz w:val="24"/>
          <w:szCs w:val="24"/>
        </w:rPr>
        <w:t>Enrollees must be able to access this requirement on-site.</w:t>
      </w:r>
    </w:p>
    <w:p w14:paraId="4BF869F1" w14:textId="4CDBA8A1" w:rsidR="00F878D0" w:rsidRDefault="00F878D0" w:rsidP="00BA3B92">
      <w:pPr>
        <w:pStyle w:val="ListParagraph"/>
        <w:numPr>
          <w:ilvl w:val="0"/>
          <w:numId w:val="7"/>
        </w:numPr>
        <w:spacing w:before="120" w:after="240"/>
        <w:rPr>
          <w:rFonts w:cs="Calibri"/>
          <w:sz w:val="24"/>
          <w:szCs w:val="24"/>
        </w:rPr>
      </w:pPr>
      <w:r w:rsidRPr="36AF73CC">
        <w:rPr>
          <w:rFonts w:cs="Calibri"/>
          <w:sz w:val="24"/>
          <w:szCs w:val="24"/>
        </w:rPr>
        <w:t xml:space="preserve">Capability for next-business-day Medication for Opioid Use Disorder (MOUD) induction and follow-up: </w:t>
      </w:r>
      <w:r w:rsidR="002A35B4" w:rsidRPr="36AF73CC">
        <w:rPr>
          <w:rFonts w:cs="Calibri"/>
          <w:sz w:val="24"/>
          <w:szCs w:val="24"/>
        </w:rPr>
        <w:t xml:space="preserve">must </w:t>
      </w:r>
      <w:r w:rsidRPr="36AF73CC">
        <w:rPr>
          <w:rFonts w:cs="Calibri"/>
          <w:sz w:val="24"/>
          <w:szCs w:val="24"/>
        </w:rPr>
        <w:t xml:space="preserve">have an evidence-based written protocol (such as SAMHSA’s guidance found </w:t>
      </w:r>
      <w:hyperlink r:id="rId32">
        <w:r w:rsidR="733EE326" w:rsidRPr="36AF73CC">
          <w:rPr>
            <w:rFonts w:cs="Calibri"/>
            <w:sz w:val="24"/>
            <w:szCs w:val="24"/>
          </w:rPr>
          <w:t>here</w:t>
        </w:r>
      </w:hyperlink>
      <w:r w:rsidRPr="36AF73CC">
        <w:rPr>
          <w:rFonts w:cs="Calibri"/>
          <w:sz w:val="24"/>
          <w:szCs w:val="24"/>
        </w:rPr>
        <w:t xml:space="preserve">) for and the capability to provide in-office </w:t>
      </w:r>
      <w:r w:rsidR="002A35B4" w:rsidRPr="36AF73CC">
        <w:rPr>
          <w:rFonts w:cs="Calibri"/>
          <w:sz w:val="24"/>
          <w:szCs w:val="24"/>
        </w:rPr>
        <w:t xml:space="preserve">or virtual </w:t>
      </w:r>
      <w:r w:rsidRPr="36AF73CC">
        <w:rPr>
          <w:rFonts w:cs="Calibri"/>
          <w:sz w:val="24"/>
          <w:szCs w:val="24"/>
        </w:rPr>
        <w:t>induction of buprenorphine and opioid withdrawal management within one business day of diagnosis of opioid use disorder or treatment of withdrawal or relapse.</w:t>
      </w:r>
      <w:r w:rsidR="0008793C" w:rsidRPr="36AF73CC">
        <w:rPr>
          <w:rFonts w:cs="Calibri"/>
          <w:sz w:val="24"/>
          <w:szCs w:val="24"/>
        </w:rPr>
        <w:t xml:space="preserve"> Providing referrals to SUD care or maintaining agreements with other providers or practices at a different location </w:t>
      </w:r>
      <w:r w:rsidR="0008793C" w:rsidRPr="36AF73CC">
        <w:rPr>
          <w:rFonts w:cs="Calibri"/>
          <w:sz w:val="24"/>
          <w:szCs w:val="24"/>
          <w:u w:val="single"/>
        </w:rPr>
        <w:t xml:space="preserve">does not </w:t>
      </w:r>
      <w:r w:rsidR="0008793C" w:rsidRPr="36AF73CC">
        <w:rPr>
          <w:rFonts w:cs="Calibri"/>
          <w:sz w:val="24"/>
          <w:szCs w:val="24"/>
        </w:rPr>
        <w:t>meet this requirement.</w:t>
      </w:r>
      <w:r>
        <w:br/>
      </w:r>
      <w:r>
        <w:br/>
      </w:r>
      <w:r w:rsidR="00761D19" w:rsidRPr="36AF73CC">
        <w:rPr>
          <w:rFonts w:cs="Calibri"/>
          <w:sz w:val="24"/>
          <w:szCs w:val="24"/>
        </w:rPr>
        <w:lastRenderedPageBreak/>
        <w:t>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5EF6AD9B" w14:textId="1E36F0E4" w:rsidR="00BA3B92" w:rsidRPr="00BA3B92" w:rsidRDefault="00876C1B" w:rsidP="00BA3B92">
      <w:pPr>
        <w:rPr>
          <w:rFonts w:cs="Calibri"/>
          <w:sz w:val="24"/>
          <w:szCs w:val="24"/>
        </w:rPr>
      </w:pPr>
      <w:r>
        <w:rPr>
          <w:rFonts w:eastAsia="Arial" w:cs="Calibri"/>
          <w:b/>
          <w:noProof/>
          <w:sz w:val="24"/>
          <w:szCs w:val="24"/>
        </w:rPr>
        <w:pict w14:anchorId="61D0B184">
          <v:rect id="_x0000_i1030" alt="" style="width:468pt;height:.05pt;mso-width-percent:0;mso-height-percent:0;mso-width-percent:0;mso-height-percent:0" o:hralign="center" o:hrstd="t" o:hr="t" fillcolor="#a0a0a0" stroked="f"/>
        </w:pict>
      </w:r>
    </w:p>
    <w:p w14:paraId="26E321D8" w14:textId="77777777" w:rsidR="00F878D0" w:rsidRPr="00093B9E" w:rsidRDefault="00F878D0" w:rsidP="00BA3B92">
      <w:pPr>
        <w:pStyle w:val="Heading2"/>
        <w:spacing w:after="240"/>
        <w:rPr>
          <w:rFonts w:eastAsia="Arial"/>
          <w:color w:val="auto"/>
        </w:rPr>
      </w:pPr>
      <w:r w:rsidRPr="00093B9E">
        <w:rPr>
          <w:rFonts w:eastAsia="Arial"/>
          <w:color w:val="auto"/>
        </w:rPr>
        <w:t xml:space="preserve">SECTION IV: Acronyms &amp; Terms Glossary </w:t>
      </w:r>
    </w:p>
    <w:p w14:paraId="1D4E8FAC" w14:textId="77777777" w:rsidR="00697766" w:rsidRPr="00093B9E" w:rsidRDefault="00697766" w:rsidP="36AF73CC">
      <w:pPr>
        <w:spacing w:before="120" w:after="120"/>
        <w:ind w:left="270"/>
        <w:rPr>
          <w:b/>
          <w:bCs/>
          <w:sz w:val="24"/>
          <w:szCs w:val="24"/>
        </w:rPr>
      </w:pPr>
      <w:r w:rsidRPr="36AF73CC">
        <w:rPr>
          <w:b/>
          <w:bCs/>
          <w:sz w:val="24"/>
          <w:szCs w:val="24"/>
        </w:rPr>
        <w:t>Terms</w:t>
      </w:r>
    </w:p>
    <w:tbl>
      <w:tblPr>
        <w:tblStyle w:val="TableGrid"/>
        <w:tblW w:w="9790" w:type="dxa"/>
        <w:tblInd w:w="280" w:type="dxa"/>
        <w:tblLook w:val="04A0" w:firstRow="1" w:lastRow="0" w:firstColumn="1" w:lastColumn="0" w:noHBand="0" w:noVBand="1"/>
      </w:tblPr>
      <w:tblGrid>
        <w:gridCol w:w="2990"/>
        <w:gridCol w:w="6800"/>
      </w:tblGrid>
      <w:tr w:rsidR="00697766" w:rsidRPr="00F878D0" w14:paraId="6EBD2A54" w14:textId="77777777" w:rsidTr="36AF73CC">
        <w:tc>
          <w:tcPr>
            <w:tcW w:w="2990" w:type="dxa"/>
          </w:tcPr>
          <w:p w14:paraId="69EA823D" w14:textId="77777777" w:rsidR="00697766" w:rsidRPr="00F878D0" w:rsidRDefault="00697766" w:rsidP="00034678">
            <w:pPr>
              <w:rPr>
                <w:rFonts w:cs="Calibri"/>
                <w:sz w:val="24"/>
                <w:szCs w:val="24"/>
              </w:rPr>
            </w:pPr>
            <w:r w:rsidRPr="36AF73CC">
              <w:rPr>
                <w:rFonts w:cs="Calibri"/>
                <w:sz w:val="24"/>
                <w:szCs w:val="24"/>
              </w:rPr>
              <w:t xml:space="preserve">Adult practice </w:t>
            </w:r>
          </w:p>
        </w:tc>
        <w:tc>
          <w:tcPr>
            <w:tcW w:w="6800" w:type="dxa"/>
          </w:tcPr>
          <w:p w14:paraId="6493464F" w14:textId="77777777" w:rsidR="00697766" w:rsidRPr="00BB6C28" w:rsidRDefault="00697766" w:rsidP="36AF73CC">
            <w:pPr>
              <w:rPr>
                <w:rFonts w:cs="Calibri"/>
                <w:sz w:val="24"/>
                <w:szCs w:val="24"/>
              </w:rPr>
            </w:pPr>
            <w:r w:rsidRPr="36AF73CC">
              <w:rPr>
                <w:rFonts w:cs="Calibri"/>
                <w:sz w:val="24"/>
                <w:szCs w:val="24"/>
              </w:rPr>
              <w:t>Any primary care practice, either standalone or within a larger building, that primarily provides care to adults and those &gt;21 years of age. An adult practice shall fulfill requirements specific to adult populations. Pediatric practices that serve a small number of adult patients are not adult practices, and do not need to meet the requirements specific to adult populations</w:t>
            </w:r>
          </w:p>
          <w:p w14:paraId="00FD30FA" w14:textId="77777777" w:rsidR="00697766" w:rsidRPr="00F878D0" w:rsidRDefault="00697766" w:rsidP="00034678">
            <w:pPr>
              <w:rPr>
                <w:rFonts w:cs="Calibri"/>
                <w:sz w:val="24"/>
                <w:szCs w:val="24"/>
              </w:rPr>
            </w:pPr>
          </w:p>
          <w:p w14:paraId="0C4C85FE" w14:textId="77777777" w:rsidR="00697766" w:rsidRPr="00F878D0" w:rsidRDefault="00697766" w:rsidP="00034678">
            <w:pPr>
              <w:rPr>
                <w:rFonts w:cs="Calibri"/>
                <w:sz w:val="24"/>
                <w:szCs w:val="24"/>
              </w:rPr>
            </w:pPr>
            <w:r w:rsidRPr="36AF73CC">
              <w:rPr>
                <w:rFonts w:cs="Calibri"/>
                <w:sz w:val="24"/>
                <w:szCs w:val="24"/>
              </w:rPr>
              <w:t xml:space="preserve">Please note that EPSDT requirements are required for any MassHealth members 21 years of age or younger, regardless of the practice type. </w:t>
            </w:r>
          </w:p>
        </w:tc>
      </w:tr>
      <w:tr w:rsidR="00697766" w14:paraId="2768CBE7" w14:textId="77777777" w:rsidTr="36AF73CC">
        <w:tc>
          <w:tcPr>
            <w:tcW w:w="2990" w:type="dxa"/>
          </w:tcPr>
          <w:p w14:paraId="6A0DC1AD" w14:textId="77777777" w:rsidR="00697766" w:rsidRDefault="00697766" w:rsidP="00034678">
            <w:pPr>
              <w:rPr>
                <w:sz w:val="28"/>
                <w:szCs w:val="28"/>
              </w:rPr>
            </w:pPr>
            <w:r w:rsidRPr="36AF73CC">
              <w:rPr>
                <w:sz w:val="24"/>
                <w:szCs w:val="24"/>
              </w:rPr>
              <w:t>E-Consult</w:t>
            </w:r>
          </w:p>
        </w:tc>
        <w:tc>
          <w:tcPr>
            <w:tcW w:w="6800" w:type="dxa"/>
          </w:tcPr>
          <w:p w14:paraId="2CCBF452" w14:textId="77777777" w:rsidR="00697766" w:rsidRDefault="00697766" w:rsidP="00034678">
            <w:pPr>
              <w:rPr>
                <w:color w:val="000000" w:themeColor="text1"/>
              </w:rPr>
            </w:pPr>
            <w:r w:rsidRPr="36AF73CC">
              <w:rPr>
                <w:rFonts w:cs="Calibri"/>
                <w:color w:val="000000" w:themeColor="text1"/>
                <w:sz w:val="24"/>
                <w:szCs w:val="24"/>
              </w:rPr>
              <w:t>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tc>
      </w:tr>
      <w:tr w:rsidR="00697766" w:rsidRPr="00F878D0" w14:paraId="48DFC574" w14:textId="77777777" w:rsidTr="36AF73CC">
        <w:tc>
          <w:tcPr>
            <w:tcW w:w="2990" w:type="dxa"/>
          </w:tcPr>
          <w:p w14:paraId="7A6315C9" w14:textId="77777777" w:rsidR="00697766" w:rsidRPr="00F878D0" w:rsidRDefault="00697766" w:rsidP="00034678">
            <w:pPr>
              <w:rPr>
                <w:rFonts w:cs="Calibri"/>
                <w:sz w:val="24"/>
                <w:szCs w:val="24"/>
              </w:rPr>
            </w:pPr>
            <w:r w:rsidRPr="36AF73CC">
              <w:rPr>
                <w:rFonts w:cs="Calibri"/>
                <w:sz w:val="24"/>
                <w:szCs w:val="24"/>
              </w:rPr>
              <w:t xml:space="preserve">Family Medicine practice </w:t>
            </w:r>
          </w:p>
        </w:tc>
        <w:tc>
          <w:tcPr>
            <w:tcW w:w="6800" w:type="dxa"/>
          </w:tcPr>
          <w:p w14:paraId="4647BB0D" w14:textId="77777777" w:rsidR="00697766" w:rsidRPr="00F878D0" w:rsidRDefault="00697766" w:rsidP="00034678">
            <w:pPr>
              <w:rPr>
                <w:rFonts w:cs="Calibri"/>
                <w:sz w:val="24"/>
                <w:szCs w:val="24"/>
              </w:rPr>
            </w:pPr>
            <w:r w:rsidRPr="36AF73CC">
              <w:rPr>
                <w:rFonts w:cs="Calibri"/>
                <w:sz w:val="24"/>
                <w:szCs w:val="24"/>
              </w:rPr>
              <w:t>Any primary care practice, either standalone or within a larger building, that provides care to patients across the lifespan. A family medicine practice shall fulfill requirements specific to both pediatric and adult populations. Each Family Medicine practice shall have a single Tier Designation</w:t>
            </w:r>
          </w:p>
        </w:tc>
      </w:tr>
      <w:tr w:rsidR="00697766" w:rsidRPr="00F878D0" w14:paraId="02D4D8F9" w14:textId="77777777" w:rsidTr="36AF73CC">
        <w:tc>
          <w:tcPr>
            <w:tcW w:w="2990" w:type="dxa"/>
          </w:tcPr>
          <w:p w14:paraId="4BA6C3EA" w14:textId="77777777" w:rsidR="00697766" w:rsidRPr="00F878D0" w:rsidRDefault="00697766" w:rsidP="00034678">
            <w:pPr>
              <w:rPr>
                <w:rFonts w:cs="Calibri"/>
                <w:sz w:val="24"/>
                <w:szCs w:val="24"/>
              </w:rPr>
            </w:pPr>
            <w:r w:rsidRPr="36AF73CC">
              <w:rPr>
                <w:rFonts w:cs="Calibri"/>
                <w:sz w:val="24"/>
                <w:szCs w:val="24"/>
              </w:rPr>
              <w:t xml:space="preserve">Pediatric practice </w:t>
            </w:r>
          </w:p>
        </w:tc>
        <w:tc>
          <w:tcPr>
            <w:tcW w:w="6800" w:type="dxa"/>
          </w:tcPr>
          <w:p w14:paraId="57B6BA81" w14:textId="77777777" w:rsidR="00697766" w:rsidRPr="00F878D0" w:rsidRDefault="00697766" w:rsidP="36AF73CC">
            <w:pPr>
              <w:rPr>
                <w:rFonts w:cs="Calibri"/>
                <w:sz w:val="24"/>
                <w:szCs w:val="24"/>
              </w:rPr>
            </w:pPr>
            <w:r w:rsidRPr="36AF73CC">
              <w:rPr>
                <w:rFonts w:cs="Calibri"/>
                <w:sz w:val="24"/>
                <w:szCs w:val="24"/>
              </w:rPr>
              <w:t xml:space="preserve">Any primary care practice, either standalone or within a larger building, that primarily provides care to children and adolescent patients 21 years of age or younger. A pediatric practice shall fulfill requirements specific to pediatric populations. Adult practices that serve a small number of patients under age 21 are not pediatric practices, and do not need to meet the requirements specific to adult populations. </w:t>
            </w:r>
          </w:p>
          <w:p w14:paraId="181DC02E" w14:textId="77777777" w:rsidR="00697766" w:rsidRPr="00F878D0" w:rsidRDefault="00697766" w:rsidP="00034678"/>
          <w:p w14:paraId="48626BF8" w14:textId="77777777" w:rsidR="00697766" w:rsidRPr="00F878D0" w:rsidRDefault="00697766" w:rsidP="00034678">
            <w:pPr>
              <w:rPr>
                <w:rFonts w:cs="Calibri"/>
                <w:sz w:val="24"/>
                <w:szCs w:val="24"/>
              </w:rPr>
            </w:pPr>
            <w:r w:rsidRPr="36AF73CC">
              <w:rPr>
                <w:rFonts w:cs="Calibri"/>
                <w:sz w:val="24"/>
                <w:szCs w:val="24"/>
              </w:rPr>
              <w:t>Please note that EPSDT requirements are required for any MassHealth members 21 years of age or younger, regardless of the practice type.</w:t>
            </w:r>
          </w:p>
        </w:tc>
      </w:tr>
      <w:tr w:rsidR="00697766" w:rsidRPr="00F878D0" w14:paraId="3DF7CE4E" w14:textId="77777777" w:rsidTr="36AF73CC">
        <w:tc>
          <w:tcPr>
            <w:tcW w:w="2990" w:type="dxa"/>
          </w:tcPr>
          <w:p w14:paraId="3A946DB2" w14:textId="77777777" w:rsidR="00697766" w:rsidRPr="00F878D0" w:rsidRDefault="00697766" w:rsidP="00034678">
            <w:pPr>
              <w:rPr>
                <w:rFonts w:cs="Calibri"/>
                <w:sz w:val="24"/>
                <w:szCs w:val="24"/>
              </w:rPr>
            </w:pPr>
            <w:r w:rsidRPr="36AF73CC">
              <w:rPr>
                <w:rFonts w:cs="Calibri"/>
                <w:sz w:val="24"/>
                <w:szCs w:val="24"/>
              </w:rPr>
              <w:t>Session</w:t>
            </w:r>
          </w:p>
        </w:tc>
        <w:tc>
          <w:tcPr>
            <w:tcW w:w="6800" w:type="dxa"/>
          </w:tcPr>
          <w:p w14:paraId="6B412A11" w14:textId="77777777" w:rsidR="00697766" w:rsidRPr="00F878D0" w:rsidRDefault="00697766" w:rsidP="00034678">
            <w:pPr>
              <w:rPr>
                <w:rFonts w:cs="Calibri"/>
                <w:sz w:val="24"/>
                <w:szCs w:val="24"/>
              </w:rPr>
            </w:pPr>
            <w:r w:rsidRPr="36AF73CC">
              <w:rPr>
                <w:rFonts w:cs="Calibri"/>
                <w:sz w:val="24"/>
                <w:szCs w:val="24"/>
                <w:u w:val="single"/>
              </w:rPr>
              <w:t>&gt;</w:t>
            </w:r>
            <w:r w:rsidRPr="36AF73CC">
              <w:rPr>
                <w:rFonts w:cs="Calibri"/>
                <w:sz w:val="24"/>
                <w:szCs w:val="24"/>
              </w:rPr>
              <w:t xml:space="preserve">4 consecutive hours of clinical work time, usually defined as a continuous morning or afternoon block of time in which providers see patients. </w:t>
            </w:r>
          </w:p>
        </w:tc>
      </w:tr>
    </w:tbl>
    <w:p w14:paraId="6414DB19" w14:textId="77777777" w:rsidR="00F878D0" w:rsidRPr="00F878D0" w:rsidRDefault="00F878D0" w:rsidP="00806FAA">
      <w:pPr>
        <w:spacing w:before="120" w:after="120"/>
        <w:ind w:left="280"/>
        <w:rPr>
          <w:rFonts w:cs="Calibri"/>
          <w:b/>
          <w:sz w:val="24"/>
          <w:szCs w:val="24"/>
        </w:rPr>
      </w:pPr>
      <w:r w:rsidRPr="00F878D0">
        <w:rPr>
          <w:rFonts w:cs="Calibri"/>
          <w:b/>
          <w:sz w:val="24"/>
          <w:szCs w:val="24"/>
        </w:rPr>
        <w:lastRenderedPageBreak/>
        <w:t xml:space="preserve">Acronyms </w:t>
      </w:r>
    </w:p>
    <w:tbl>
      <w:tblPr>
        <w:tblStyle w:val="TableGrid"/>
        <w:tblW w:w="9765" w:type="dxa"/>
        <w:tblInd w:w="280" w:type="dxa"/>
        <w:tblLook w:val="04A0" w:firstRow="1" w:lastRow="0" w:firstColumn="1" w:lastColumn="0" w:noHBand="0" w:noVBand="1"/>
      </w:tblPr>
      <w:tblGrid>
        <w:gridCol w:w="1455"/>
        <w:gridCol w:w="8310"/>
      </w:tblGrid>
      <w:tr w:rsidR="00F878D0" w:rsidRPr="00F878D0" w14:paraId="377176C0" w14:textId="77777777" w:rsidTr="00E74A37">
        <w:trPr>
          <w:trHeight w:val="288"/>
        </w:trPr>
        <w:tc>
          <w:tcPr>
            <w:tcW w:w="1455" w:type="dxa"/>
          </w:tcPr>
          <w:p w14:paraId="4A76A520" w14:textId="77777777" w:rsidR="00F878D0" w:rsidRPr="00F878D0" w:rsidRDefault="00F878D0" w:rsidP="00F86EFD">
            <w:pPr>
              <w:rPr>
                <w:rFonts w:cs="Calibri"/>
                <w:sz w:val="24"/>
                <w:szCs w:val="24"/>
              </w:rPr>
            </w:pPr>
            <w:r w:rsidRPr="00F878D0">
              <w:rPr>
                <w:rFonts w:cs="Calibri"/>
                <w:sz w:val="24"/>
                <w:szCs w:val="24"/>
              </w:rPr>
              <w:t>ABMS</w:t>
            </w:r>
          </w:p>
        </w:tc>
        <w:tc>
          <w:tcPr>
            <w:tcW w:w="8310" w:type="dxa"/>
          </w:tcPr>
          <w:p w14:paraId="44A98C20" w14:textId="77777777" w:rsidR="00F878D0" w:rsidRPr="00F878D0" w:rsidRDefault="00F878D0" w:rsidP="00F86EFD">
            <w:pPr>
              <w:rPr>
                <w:rFonts w:cs="Calibri"/>
                <w:sz w:val="24"/>
                <w:szCs w:val="24"/>
              </w:rPr>
            </w:pPr>
            <w:r w:rsidRPr="00F878D0">
              <w:rPr>
                <w:rFonts w:cs="Calibri"/>
                <w:sz w:val="24"/>
                <w:szCs w:val="24"/>
              </w:rPr>
              <w:t>American Board of Medical Specialties</w:t>
            </w:r>
          </w:p>
        </w:tc>
      </w:tr>
      <w:tr w:rsidR="00F878D0" w:rsidRPr="00F878D0" w14:paraId="0E653EB5" w14:textId="77777777" w:rsidTr="00E74A37">
        <w:trPr>
          <w:trHeight w:val="288"/>
        </w:trPr>
        <w:tc>
          <w:tcPr>
            <w:tcW w:w="1455" w:type="dxa"/>
          </w:tcPr>
          <w:p w14:paraId="4D3E3D5E" w14:textId="77777777" w:rsidR="00F878D0" w:rsidRPr="00F878D0" w:rsidRDefault="00F878D0" w:rsidP="00F86EFD">
            <w:pPr>
              <w:rPr>
                <w:rFonts w:cs="Calibri"/>
                <w:sz w:val="24"/>
                <w:szCs w:val="24"/>
              </w:rPr>
            </w:pPr>
            <w:r w:rsidRPr="00F878D0">
              <w:rPr>
                <w:rFonts w:cs="Calibri"/>
                <w:sz w:val="24"/>
                <w:szCs w:val="24"/>
              </w:rPr>
              <w:t>AUD</w:t>
            </w:r>
          </w:p>
        </w:tc>
        <w:tc>
          <w:tcPr>
            <w:tcW w:w="8310" w:type="dxa"/>
          </w:tcPr>
          <w:p w14:paraId="67C5128B" w14:textId="77777777" w:rsidR="00F878D0" w:rsidRPr="00F878D0" w:rsidRDefault="00F878D0" w:rsidP="00F86EFD">
            <w:pPr>
              <w:rPr>
                <w:rFonts w:cs="Calibri"/>
                <w:sz w:val="24"/>
                <w:szCs w:val="24"/>
              </w:rPr>
            </w:pPr>
            <w:r w:rsidRPr="00F878D0">
              <w:rPr>
                <w:rFonts w:cs="Calibri"/>
                <w:sz w:val="24"/>
                <w:szCs w:val="24"/>
              </w:rPr>
              <w:t>Alcohol Use Disorder</w:t>
            </w:r>
          </w:p>
        </w:tc>
      </w:tr>
      <w:tr w:rsidR="00F878D0" w:rsidRPr="00F878D0" w14:paraId="41632684" w14:textId="77777777" w:rsidTr="00E74A37">
        <w:trPr>
          <w:trHeight w:val="288"/>
        </w:trPr>
        <w:tc>
          <w:tcPr>
            <w:tcW w:w="1455" w:type="dxa"/>
          </w:tcPr>
          <w:p w14:paraId="5D2361EB" w14:textId="77777777" w:rsidR="00F878D0" w:rsidRPr="00F878D0" w:rsidRDefault="00F878D0" w:rsidP="00F86EFD">
            <w:pPr>
              <w:rPr>
                <w:rFonts w:cs="Calibri"/>
                <w:sz w:val="24"/>
                <w:szCs w:val="24"/>
              </w:rPr>
            </w:pPr>
            <w:r w:rsidRPr="00F878D0">
              <w:rPr>
                <w:rFonts w:cs="Calibri"/>
                <w:sz w:val="24"/>
                <w:szCs w:val="24"/>
              </w:rPr>
              <w:t>BH</w:t>
            </w:r>
          </w:p>
        </w:tc>
        <w:tc>
          <w:tcPr>
            <w:tcW w:w="8310" w:type="dxa"/>
          </w:tcPr>
          <w:p w14:paraId="31706F1B" w14:textId="77777777" w:rsidR="00F878D0" w:rsidRPr="00F878D0" w:rsidRDefault="00F878D0" w:rsidP="00F86EFD">
            <w:pPr>
              <w:rPr>
                <w:rFonts w:cs="Calibri"/>
                <w:sz w:val="24"/>
                <w:szCs w:val="24"/>
              </w:rPr>
            </w:pPr>
            <w:r w:rsidRPr="00F878D0">
              <w:rPr>
                <w:rFonts w:cs="Calibri"/>
                <w:sz w:val="24"/>
                <w:szCs w:val="24"/>
              </w:rPr>
              <w:t>Behavioral Health</w:t>
            </w:r>
          </w:p>
        </w:tc>
      </w:tr>
      <w:tr w:rsidR="00F878D0" w:rsidRPr="00F878D0" w14:paraId="7C0D35C5" w14:textId="77777777" w:rsidTr="00E74A37">
        <w:trPr>
          <w:trHeight w:val="288"/>
        </w:trPr>
        <w:tc>
          <w:tcPr>
            <w:tcW w:w="1455" w:type="dxa"/>
          </w:tcPr>
          <w:p w14:paraId="13C96947" w14:textId="77777777" w:rsidR="00F878D0" w:rsidRPr="00F878D0" w:rsidRDefault="00F878D0" w:rsidP="00F86EFD">
            <w:pPr>
              <w:rPr>
                <w:rFonts w:cs="Calibri"/>
                <w:sz w:val="24"/>
                <w:szCs w:val="24"/>
              </w:rPr>
            </w:pPr>
            <w:r w:rsidRPr="00F878D0">
              <w:rPr>
                <w:rFonts w:cs="Calibri"/>
                <w:sz w:val="24"/>
                <w:szCs w:val="24"/>
              </w:rPr>
              <w:t>CBHI</w:t>
            </w:r>
          </w:p>
        </w:tc>
        <w:tc>
          <w:tcPr>
            <w:tcW w:w="8310" w:type="dxa"/>
          </w:tcPr>
          <w:p w14:paraId="30D87BAC" w14:textId="77777777" w:rsidR="00F878D0" w:rsidRPr="00F878D0" w:rsidRDefault="00F878D0" w:rsidP="00F86EFD">
            <w:pPr>
              <w:rPr>
                <w:rFonts w:cs="Calibri"/>
                <w:sz w:val="24"/>
                <w:szCs w:val="24"/>
              </w:rPr>
            </w:pPr>
            <w:r w:rsidRPr="00F878D0">
              <w:rPr>
                <w:rFonts w:cs="Calibri"/>
                <w:sz w:val="24"/>
                <w:szCs w:val="24"/>
              </w:rPr>
              <w:t>Children’s Behavioral Health Initiative</w:t>
            </w:r>
          </w:p>
        </w:tc>
      </w:tr>
      <w:tr w:rsidR="00F878D0" w:rsidRPr="00F878D0" w14:paraId="092DAAF4" w14:textId="77777777" w:rsidTr="00E74A37">
        <w:trPr>
          <w:trHeight w:val="288"/>
        </w:trPr>
        <w:tc>
          <w:tcPr>
            <w:tcW w:w="1455" w:type="dxa"/>
          </w:tcPr>
          <w:p w14:paraId="21D4C0ED" w14:textId="77777777" w:rsidR="00F878D0" w:rsidRPr="00F878D0" w:rsidRDefault="00F878D0" w:rsidP="00F86EFD">
            <w:pPr>
              <w:rPr>
                <w:rFonts w:cs="Calibri"/>
                <w:sz w:val="24"/>
                <w:szCs w:val="24"/>
              </w:rPr>
            </w:pPr>
            <w:r w:rsidRPr="00F878D0">
              <w:rPr>
                <w:rFonts w:cs="Calibri"/>
                <w:sz w:val="24"/>
                <w:szCs w:val="24"/>
              </w:rPr>
              <w:t>CBT</w:t>
            </w:r>
          </w:p>
        </w:tc>
        <w:tc>
          <w:tcPr>
            <w:tcW w:w="8310" w:type="dxa"/>
          </w:tcPr>
          <w:p w14:paraId="79FA0F66" w14:textId="77777777" w:rsidR="00F878D0" w:rsidRPr="00F878D0" w:rsidRDefault="00F878D0" w:rsidP="00F86EFD">
            <w:pPr>
              <w:rPr>
                <w:rFonts w:cs="Calibri"/>
                <w:sz w:val="24"/>
                <w:szCs w:val="24"/>
              </w:rPr>
            </w:pPr>
            <w:r w:rsidRPr="00F878D0">
              <w:rPr>
                <w:rFonts w:cs="Calibri"/>
                <w:sz w:val="24"/>
                <w:szCs w:val="24"/>
              </w:rPr>
              <w:t>Cognitive Behavioral Therapy</w:t>
            </w:r>
          </w:p>
        </w:tc>
      </w:tr>
      <w:tr w:rsidR="00F878D0" w:rsidRPr="00F878D0" w14:paraId="07AF1A0E" w14:textId="77777777" w:rsidTr="00E74A37">
        <w:trPr>
          <w:trHeight w:val="288"/>
        </w:trPr>
        <w:tc>
          <w:tcPr>
            <w:tcW w:w="1455" w:type="dxa"/>
          </w:tcPr>
          <w:p w14:paraId="3803FF86" w14:textId="77777777" w:rsidR="00F878D0" w:rsidRPr="00F878D0" w:rsidRDefault="00F878D0" w:rsidP="00F86EFD">
            <w:pPr>
              <w:rPr>
                <w:rFonts w:cs="Calibri"/>
                <w:sz w:val="24"/>
                <w:szCs w:val="24"/>
              </w:rPr>
            </w:pPr>
            <w:r w:rsidRPr="00F878D0">
              <w:rPr>
                <w:rFonts w:cs="Calibri"/>
                <w:sz w:val="24"/>
                <w:szCs w:val="24"/>
              </w:rPr>
              <w:t>CHW</w:t>
            </w:r>
          </w:p>
        </w:tc>
        <w:tc>
          <w:tcPr>
            <w:tcW w:w="8310" w:type="dxa"/>
          </w:tcPr>
          <w:p w14:paraId="0C6E89F4" w14:textId="77777777" w:rsidR="00F878D0" w:rsidRPr="00F878D0" w:rsidRDefault="00F878D0" w:rsidP="00F86EFD">
            <w:pPr>
              <w:rPr>
                <w:rFonts w:cs="Calibri"/>
                <w:sz w:val="24"/>
                <w:szCs w:val="24"/>
              </w:rPr>
            </w:pPr>
            <w:r w:rsidRPr="00F878D0">
              <w:rPr>
                <w:rFonts w:cs="Calibri"/>
                <w:sz w:val="24"/>
                <w:szCs w:val="24"/>
              </w:rPr>
              <w:t>Community Health Worker</w:t>
            </w:r>
          </w:p>
        </w:tc>
      </w:tr>
      <w:tr w:rsidR="00F878D0" w:rsidRPr="00F878D0" w14:paraId="10D0A704" w14:textId="77777777" w:rsidTr="00E74A37">
        <w:trPr>
          <w:trHeight w:val="288"/>
        </w:trPr>
        <w:tc>
          <w:tcPr>
            <w:tcW w:w="1455" w:type="dxa"/>
          </w:tcPr>
          <w:p w14:paraId="63873857" w14:textId="77777777" w:rsidR="00F878D0" w:rsidRPr="00F878D0" w:rsidRDefault="00F878D0" w:rsidP="00F86EFD">
            <w:pPr>
              <w:rPr>
                <w:rFonts w:cs="Calibri"/>
                <w:sz w:val="24"/>
                <w:szCs w:val="24"/>
              </w:rPr>
            </w:pPr>
            <w:r w:rsidRPr="00F878D0">
              <w:rPr>
                <w:rFonts w:cs="Calibri"/>
                <w:sz w:val="24"/>
                <w:szCs w:val="24"/>
              </w:rPr>
              <w:t>DCF</w:t>
            </w:r>
          </w:p>
        </w:tc>
        <w:tc>
          <w:tcPr>
            <w:tcW w:w="8310" w:type="dxa"/>
          </w:tcPr>
          <w:p w14:paraId="558956B8" w14:textId="77777777" w:rsidR="00F878D0" w:rsidRPr="00F878D0" w:rsidRDefault="00F878D0" w:rsidP="00F86EFD">
            <w:pPr>
              <w:rPr>
                <w:rFonts w:cs="Calibri"/>
                <w:sz w:val="24"/>
                <w:szCs w:val="24"/>
              </w:rPr>
            </w:pPr>
            <w:r w:rsidRPr="00F878D0">
              <w:rPr>
                <w:rFonts w:cs="Calibri"/>
                <w:sz w:val="24"/>
                <w:szCs w:val="24"/>
              </w:rPr>
              <w:t>Massachusetts Department of Children and Families</w:t>
            </w:r>
          </w:p>
        </w:tc>
      </w:tr>
      <w:tr w:rsidR="00F878D0" w:rsidRPr="00F878D0" w14:paraId="703AEF14" w14:textId="77777777" w:rsidTr="00E74A37">
        <w:trPr>
          <w:trHeight w:val="288"/>
        </w:trPr>
        <w:tc>
          <w:tcPr>
            <w:tcW w:w="1455" w:type="dxa"/>
          </w:tcPr>
          <w:p w14:paraId="2FA3F396" w14:textId="77777777" w:rsidR="00F878D0" w:rsidRPr="00F878D0" w:rsidRDefault="00F878D0" w:rsidP="00F86EFD">
            <w:pPr>
              <w:rPr>
                <w:rFonts w:cs="Calibri"/>
                <w:sz w:val="24"/>
                <w:szCs w:val="24"/>
              </w:rPr>
            </w:pPr>
            <w:r w:rsidRPr="00F878D0">
              <w:rPr>
                <w:rFonts w:cs="Calibri"/>
                <w:sz w:val="24"/>
                <w:szCs w:val="24"/>
              </w:rPr>
              <w:t>DDS</w:t>
            </w:r>
          </w:p>
        </w:tc>
        <w:tc>
          <w:tcPr>
            <w:tcW w:w="8310" w:type="dxa"/>
          </w:tcPr>
          <w:p w14:paraId="3FC47EA2" w14:textId="77777777" w:rsidR="00F878D0" w:rsidRPr="00F878D0" w:rsidRDefault="00F878D0" w:rsidP="00F86EFD">
            <w:pPr>
              <w:rPr>
                <w:rFonts w:cs="Calibri"/>
                <w:sz w:val="24"/>
                <w:szCs w:val="24"/>
              </w:rPr>
            </w:pPr>
            <w:r w:rsidRPr="00F878D0">
              <w:rPr>
                <w:rFonts w:cs="Calibri"/>
                <w:sz w:val="24"/>
                <w:szCs w:val="24"/>
              </w:rPr>
              <w:t>Massachusetts Department of Developmental Services</w:t>
            </w:r>
          </w:p>
        </w:tc>
      </w:tr>
      <w:tr w:rsidR="00F878D0" w:rsidRPr="00F878D0" w14:paraId="6CD9DB82" w14:textId="77777777" w:rsidTr="00E74A37">
        <w:trPr>
          <w:trHeight w:val="288"/>
        </w:trPr>
        <w:tc>
          <w:tcPr>
            <w:tcW w:w="1455" w:type="dxa"/>
          </w:tcPr>
          <w:p w14:paraId="1FF2D77E" w14:textId="77777777" w:rsidR="00F878D0" w:rsidRPr="00F878D0" w:rsidRDefault="00F878D0" w:rsidP="00F86EFD">
            <w:pPr>
              <w:rPr>
                <w:rFonts w:cs="Calibri"/>
                <w:sz w:val="24"/>
                <w:szCs w:val="24"/>
              </w:rPr>
            </w:pPr>
            <w:r w:rsidRPr="00F878D0">
              <w:rPr>
                <w:rFonts w:cs="Calibri"/>
                <w:sz w:val="24"/>
                <w:szCs w:val="24"/>
              </w:rPr>
              <w:t>DMH</w:t>
            </w:r>
          </w:p>
        </w:tc>
        <w:tc>
          <w:tcPr>
            <w:tcW w:w="8310" w:type="dxa"/>
          </w:tcPr>
          <w:p w14:paraId="4241AEC0" w14:textId="77777777" w:rsidR="00F878D0" w:rsidRPr="00F878D0" w:rsidRDefault="00F878D0" w:rsidP="00F86EFD">
            <w:pPr>
              <w:rPr>
                <w:rFonts w:cs="Calibri"/>
                <w:sz w:val="24"/>
                <w:szCs w:val="24"/>
              </w:rPr>
            </w:pPr>
            <w:r w:rsidRPr="00F878D0">
              <w:rPr>
                <w:rFonts w:cs="Calibri"/>
                <w:sz w:val="24"/>
                <w:szCs w:val="24"/>
              </w:rPr>
              <w:t>Massachusetts Department of Mental Health</w:t>
            </w:r>
          </w:p>
        </w:tc>
      </w:tr>
      <w:tr w:rsidR="00F878D0" w:rsidRPr="00F878D0" w14:paraId="4950FF83" w14:textId="77777777" w:rsidTr="00E74A37">
        <w:trPr>
          <w:trHeight w:val="288"/>
        </w:trPr>
        <w:tc>
          <w:tcPr>
            <w:tcW w:w="1455" w:type="dxa"/>
          </w:tcPr>
          <w:p w14:paraId="7CC6E94F" w14:textId="77777777" w:rsidR="00F878D0" w:rsidRPr="00F878D0" w:rsidRDefault="00F878D0" w:rsidP="00F86EFD">
            <w:pPr>
              <w:rPr>
                <w:rFonts w:cs="Calibri"/>
                <w:sz w:val="24"/>
                <w:szCs w:val="24"/>
              </w:rPr>
            </w:pPr>
            <w:r w:rsidRPr="00F878D0">
              <w:rPr>
                <w:rFonts w:cs="Calibri"/>
                <w:sz w:val="24"/>
                <w:szCs w:val="24"/>
              </w:rPr>
              <w:t>DPH</w:t>
            </w:r>
          </w:p>
        </w:tc>
        <w:tc>
          <w:tcPr>
            <w:tcW w:w="8310" w:type="dxa"/>
          </w:tcPr>
          <w:p w14:paraId="75F168DE" w14:textId="77777777" w:rsidR="00F878D0" w:rsidRPr="00F878D0" w:rsidRDefault="00F878D0" w:rsidP="00F86EFD">
            <w:pPr>
              <w:rPr>
                <w:rFonts w:cs="Calibri"/>
                <w:sz w:val="24"/>
                <w:szCs w:val="24"/>
              </w:rPr>
            </w:pPr>
            <w:r w:rsidRPr="00F878D0">
              <w:rPr>
                <w:rFonts w:cs="Calibri"/>
                <w:sz w:val="24"/>
                <w:szCs w:val="24"/>
              </w:rPr>
              <w:t>Massachusetts Department of Public Health</w:t>
            </w:r>
          </w:p>
        </w:tc>
      </w:tr>
      <w:tr w:rsidR="00F878D0" w:rsidRPr="00F878D0" w14:paraId="09B171A9" w14:textId="77777777" w:rsidTr="00E74A37">
        <w:trPr>
          <w:trHeight w:val="288"/>
        </w:trPr>
        <w:tc>
          <w:tcPr>
            <w:tcW w:w="1455" w:type="dxa"/>
          </w:tcPr>
          <w:p w14:paraId="43672FF6" w14:textId="77777777" w:rsidR="00F878D0" w:rsidRPr="00F878D0" w:rsidRDefault="00F878D0" w:rsidP="00F86EFD">
            <w:pPr>
              <w:rPr>
                <w:rFonts w:cs="Calibri"/>
                <w:sz w:val="24"/>
                <w:szCs w:val="24"/>
              </w:rPr>
            </w:pPr>
            <w:r w:rsidRPr="00F878D0">
              <w:rPr>
                <w:rFonts w:cs="Calibri"/>
                <w:sz w:val="24"/>
                <w:szCs w:val="24"/>
              </w:rPr>
              <w:t>DTA</w:t>
            </w:r>
          </w:p>
        </w:tc>
        <w:tc>
          <w:tcPr>
            <w:tcW w:w="8310" w:type="dxa"/>
          </w:tcPr>
          <w:p w14:paraId="68A7D55E" w14:textId="77777777" w:rsidR="00F878D0" w:rsidRPr="00F878D0" w:rsidRDefault="00F878D0" w:rsidP="00F86EFD">
            <w:pPr>
              <w:rPr>
                <w:rFonts w:cs="Calibri"/>
                <w:sz w:val="24"/>
                <w:szCs w:val="24"/>
              </w:rPr>
            </w:pPr>
            <w:r w:rsidRPr="00F878D0">
              <w:rPr>
                <w:rFonts w:cs="Calibri"/>
                <w:sz w:val="24"/>
                <w:szCs w:val="24"/>
              </w:rPr>
              <w:t>Massachusetts Department of Transitional Assistance</w:t>
            </w:r>
          </w:p>
        </w:tc>
      </w:tr>
      <w:tr w:rsidR="00F878D0" w:rsidRPr="00F878D0" w14:paraId="48691106" w14:textId="77777777" w:rsidTr="00E74A37">
        <w:trPr>
          <w:trHeight w:val="288"/>
        </w:trPr>
        <w:tc>
          <w:tcPr>
            <w:tcW w:w="1455" w:type="dxa"/>
          </w:tcPr>
          <w:p w14:paraId="77621331" w14:textId="77777777" w:rsidR="00F878D0" w:rsidRPr="00F878D0" w:rsidRDefault="00F878D0" w:rsidP="00F86EFD">
            <w:pPr>
              <w:rPr>
                <w:rFonts w:cs="Calibri"/>
                <w:sz w:val="24"/>
                <w:szCs w:val="24"/>
              </w:rPr>
            </w:pPr>
            <w:r w:rsidRPr="00F878D0">
              <w:rPr>
                <w:rFonts w:cs="Calibri"/>
                <w:sz w:val="24"/>
                <w:szCs w:val="24"/>
              </w:rPr>
              <w:t>DYS</w:t>
            </w:r>
          </w:p>
        </w:tc>
        <w:tc>
          <w:tcPr>
            <w:tcW w:w="8310" w:type="dxa"/>
          </w:tcPr>
          <w:p w14:paraId="088744DA" w14:textId="77777777" w:rsidR="00F878D0" w:rsidRPr="00F878D0" w:rsidRDefault="00F878D0" w:rsidP="00F86EFD">
            <w:pPr>
              <w:rPr>
                <w:rFonts w:cs="Calibri"/>
                <w:sz w:val="24"/>
                <w:szCs w:val="24"/>
              </w:rPr>
            </w:pPr>
            <w:r w:rsidRPr="00F878D0">
              <w:rPr>
                <w:rFonts w:cs="Calibri"/>
                <w:sz w:val="24"/>
                <w:szCs w:val="24"/>
              </w:rPr>
              <w:t>Massachusetts Department of Youth Services</w:t>
            </w:r>
          </w:p>
        </w:tc>
      </w:tr>
      <w:tr w:rsidR="00F878D0" w:rsidRPr="00F878D0" w14:paraId="02061481" w14:textId="77777777" w:rsidTr="00E74A37">
        <w:trPr>
          <w:trHeight w:val="288"/>
        </w:trPr>
        <w:tc>
          <w:tcPr>
            <w:tcW w:w="1455" w:type="dxa"/>
          </w:tcPr>
          <w:p w14:paraId="01BEE501" w14:textId="77777777" w:rsidR="00F878D0" w:rsidRPr="00F878D0" w:rsidRDefault="00F878D0" w:rsidP="00F86EFD">
            <w:pPr>
              <w:rPr>
                <w:rFonts w:cs="Calibri"/>
                <w:sz w:val="24"/>
                <w:szCs w:val="24"/>
              </w:rPr>
            </w:pPr>
            <w:r w:rsidRPr="00F878D0">
              <w:rPr>
                <w:rFonts w:cs="Calibri"/>
                <w:sz w:val="24"/>
                <w:szCs w:val="24"/>
              </w:rPr>
              <w:t>EHR</w:t>
            </w:r>
          </w:p>
        </w:tc>
        <w:tc>
          <w:tcPr>
            <w:tcW w:w="8310" w:type="dxa"/>
          </w:tcPr>
          <w:p w14:paraId="13641854" w14:textId="77777777" w:rsidR="00F878D0" w:rsidRPr="00F878D0" w:rsidRDefault="00F878D0" w:rsidP="00F86EFD">
            <w:pPr>
              <w:rPr>
                <w:rFonts w:cs="Calibri"/>
                <w:sz w:val="24"/>
                <w:szCs w:val="24"/>
              </w:rPr>
            </w:pPr>
            <w:r w:rsidRPr="00F878D0">
              <w:rPr>
                <w:rFonts w:cs="Calibri"/>
                <w:sz w:val="24"/>
                <w:szCs w:val="24"/>
              </w:rPr>
              <w:t>Electronic Health Record</w:t>
            </w:r>
          </w:p>
        </w:tc>
      </w:tr>
      <w:tr w:rsidR="00F878D0" w:rsidRPr="00F878D0" w14:paraId="0B462B16" w14:textId="77777777" w:rsidTr="00E74A37">
        <w:trPr>
          <w:trHeight w:val="288"/>
        </w:trPr>
        <w:tc>
          <w:tcPr>
            <w:tcW w:w="1455" w:type="dxa"/>
          </w:tcPr>
          <w:p w14:paraId="3E4D5601" w14:textId="77777777" w:rsidR="00F878D0" w:rsidRPr="00F878D0" w:rsidRDefault="00F878D0" w:rsidP="00F86EFD">
            <w:pPr>
              <w:rPr>
                <w:rFonts w:cs="Calibri"/>
                <w:sz w:val="24"/>
                <w:szCs w:val="24"/>
              </w:rPr>
            </w:pPr>
            <w:r w:rsidRPr="00F878D0">
              <w:rPr>
                <w:rFonts w:cs="Calibri"/>
                <w:sz w:val="24"/>
                <w:szCs w:val="24"/>
              </w:rPr>
              <w:t>EPDS</w:t>
            </w:r>
          </w:p>
        </w:tc>
        <w:tc>
          <w:tcPr>
            <w:tcW w:w="8310" w:type="dxa"/>
          </w:tcPr>
          <w:p w14:paraId="37E94699" w14:textId="77777777" w:rsidR="00F878D0" w:rsidRPr="00F878D0" w:rsidRDefault="00F878D0" w:rsidP="00F86EFD">
            <w:pPr>
              <w:rPr>
                <w:rFonts w:cs="Calibri"/>
                <w:sz w:val="24"/>
                <w:szCs w:val="24"/>
              </w:rPr>
            </w:pPr>
            <w:r w:rsidRPr="00F878D0">
              <w:rPr>
                <w:rFonts w:cs="Calibri"/>
                <w:sz w:val="24"/>
                <w:szCs w:val="24"/>
              </w:rPr>
              <w:t>Edinburgh Postnatal Depression Scale</w:t>
            </w:r>
          </w:p>
        </w:tc>
      </w:tr>
      <w:tr w:rsidR="00F878D0" w:rsidRPr="00F878D0" w14:paraId="39296ABA" w14:textId="77777777" w:rsidTr="00E74A37">
        <w:trPr>
          <w:trHeight w:val="288"/>
        </w:trPr>
        <w:tc>
          <w:tcPr>
            <w:tcW w:w="1455" w:type="dxa"/>
          </w:tcPr>
          <w:p w14:paraId="1DEF93C1" w14:textId="77777777" w:rsidR="00F878D0" w:rsidRPr="00F878D0" w:rsidRDefault="00F878D0" w:rsidP="00F86EFD">
            <w:pPr>
              <w:rPr>
                <w:rFonts w:cs="Calibri"/>
                <w:sz w:val="24"/>
                <w:szCs w:val="24"/>
              </w:rPr>
            </w:pPr>
            <w:r w:rsidRPr="00F878D0">
              <w:rPr>
                <w:rFonts w:cs="Calibri"/>
                <w:sz w:val="24"/>
                <w:szCs w:val="24"/>
              </w:rPr>
              <w:t>EPSDT</w:t>
            </w:r>
          </w:p>
        </w:tc>
        <w:tc>
          <w:tcPr>
            <w:tcW w:w="8310" w:type="dxa"/>
          </w:tcPr>
          <w:p w14:paraId="0B0425C3" w14:textId="77777777" w:rsidR="00F878D0" w:rsidRPr="00F878D0" w:rsidRDefault="00F878D0" w:rsidP="00F86EFD">
            <w:pPr>
              <w:rPr>
                <w:rFonts w:cs="Calibri"/>
                <w:sz w:val="24"/>
                <w:szCs w:val="24"/>
              </w:rPr>
            </w:pPr>
            <w:r w:rsidRPr="00F878D0">
              <w:rPr>
                <w:rFonts w:cs="Calibri"/>
                <w:sz w:val="24"/>
                <w:szCs w:val="24"/>
              </w:rPr>
              <w:t>Early and Periodic Screening, Diagnostic and Treatment</w:t>
            </w:r>
          </w:p>
        </w:tc>
      </w:tr>
      <w:tr w:rsidR="00F878D0" w:rsidRPr="00F878D0" w14:paraId="49026A7A" w14:textId="77777777" w:rsidTr="00E74A37">
        <w:trPr>
          <w:trHeight w:val="288"/>
        </w:trPr>
        <w:tc>
          <w:tcPr>
            <w:tcW w:w="1455" w:type="dxa"/>
          </w:tcPr>
          <w:p w14:paraId="04F046F4" w14:textId="77777777" w:rsidR="00F878D0" w:rsidRPr="00F878D0" w:rsidRDefault="00F878D0" w:rsidP="00F86EFD">
            <w:pPr>
              <w:rPr>
                <w:rFonts w:cs="Calibri"/>
                <w:sz w:val="24"/>
                <w:szCs w:val="24"/>
              </w:rPr>
            </w:pPr>
            <w:r w:rsidRPr="00F878D0">
              <w:rPr>
                <w:rFonts w:cs="Calibri"/>
                <w:sz w:val="24"/>
                <w:szCs w:val="24"/>
              </w:rPr>
              <w:t>FRC</w:t>
            </w:r>
          </w:p>
        </w:tc>
        <w:tc>
          <w:tcPr>
            <w:tcW w:w="8310" w:type="dxa"/>
          </w:tcPr>
          <w:p w14:paraId="10DEA8E7" w14:textId="77777777" w:rsidR="00F878D0" w:rsidRPr="00F878D0" w:rsidRDefault="00F878D0" w:rsidP="00F86EFD">
            <w:pPr>
              <w:rPr>
                <w:rFonts w:cs="Calibri"/>
                <w:sz w:val="24"/>
                <w:szCs w:val="24"/>
              </w:rPr>
            </w:pPr>
            <w:r w:rsidRPr="00F878D0">
              <w:rPr>
                <w:rFonts w:cs="Calibri"/>
                <w:sz w:val="24"/>
                <w:szCs w:val="24"/>
              </w:rPr>
              <w:t>Family Resource Centers</w:t>
            </w:r>
          </w:p>
        </w:tc>
      </w:tr>
      <w:tr w:rsidR="00F878D0" w:rsidRPr="00F878D0" w14:paraId="734650E0" w14:textId="77777777" w:rsidTr="00E74A37">
        <w:trPr>
          <w:trHeight w:val="288"/>
        </w:trPr>
        <w:tc>
          <w:tcPr>
            <w:tcW w:w="1455" w:type="dxa"/>
          </w:tcPr>
          <w:p w14:paraId="7CBBABE0" w14:textId="77777777" w:rsidR="00F878D0" w:rsidRPr="00F878D0" w:rsidRDefault="00F878D0" w:rsidP="00F86EFD">
            <w:pPr>
              <w:rPr>
                <w:rFonts w:cs="Calibri"/>
                <w:sz w:val="24"/>
                <w:szCs w:val="24"/>
              </w:rPr>
            </w:pPr>
            <w:r w:rsidRPr="00F878D0">
              <w:rPr>
                <w:rFonts w:cs="Calibri"/>
                <w:sz w:val="24"/>
                <w:szCs w:val="24"/>
              </w:rPr>
              <w:t>HRSN</w:t>
            </w:r>
          </w:p>
        </w:tc>
        <w:tc>
          <w:tcPr>
            <w:tcW w:w="8310" w:type="dxa"/>
          </w:tcPr>
          <w:p w14:paraId="46BD9D3F" w14:textId="77777777" w:rsidR="00F878D0" w:rsidRPr="00F878D0" w:rsidRDefault="00F878D0" w:rsidP="00F86EFD">
            <w:pPr>
              <w:rPr>
                <w:rFonts w:cs="Calibri"/>
                <w:sz w:val="24"/>
                <w:szCs w:val="24"/>
              </w:rPr>
            </w:pPr>
            <w:r w:rsidRPr="00F878D0">
              <w:rPr>
                <w:rFonts w:cs="Calibri"/>
                <w:sz w:val="24"/>
                <w:szCs w:val="24"/>
              </w:rPr>
              <w:t>Health-Related Social Needs</w:t>
            </w:r>
          </w:p>
        </w:tc>
      </w:tr>
      <w:tr w:rsidR="00F878D0" w:rsidRPr="00F878D0" w14:paraId="44F0469A" w14:textId="77777777" w:rsidTr="00E74A37">
        <w:trPr>
          <w:trHeight w:val="288"/>
        </w:trPr>
        <w:tc>
          <w:tcPr>
            <w:tcW w:w="1455" w:type="dxa"/>
          </w:tcPr>
          <w:p w14:paraId="6B999D27" w14:textId="77777777" w:rsidR="00F878D0" w:rsidRPr="00F878D0" w:rsidRDefault="00F878D0" w:rsidP="00F86EFD">
            <w:pPr>
              <w:rPr>
                <w:rFonts w:cs="Calibri"/>
                <w:sz w:val="24"/>
                <w:szCs w:val="24"/>
              </w:rPr>
            </w:pPr>
            <w:r w:rsidRPr="00F878D0">
              <w:rPr>
                <w:rFonts w:cs="Calibri"/>
                <w:sz w:val="24"/>
                <w:szCs w:val="24"/>
              </w:rPr>
              <w:t>LARC</w:t>
            </w:r>
          </w:p>
        </w:tc>
        <w:tc>
          <w:tcPr>
            <w:tcW w:w="8310" w:type="dxa"/>
          </w:tcPr>
          <w:p w14:paraId="7F2EE410" w14:textId="77777777" w:rsidR="00F878D0" w:rsidRPr="00F878D0" w:rsidRDefault="00F878D0" w:rsidP="00F86EFD">
            <w:pPr>
              <w:rPr>
                <w:rFonts w:cs="Calibri"/>
                <w:sz w:val="24"/>
                <w:szCs w:val="24"/>
              </w:rPr>
            </w:pPr>
            <w:r w:rsidRPr="00F878D0">
              <w:rPr>
                <w:rFonts w:cs="Calibri"/>
                <w:sz w:val="24"/>
                <w:szCs w:val="24"/>
              </w:rPr>
              <w:t>Long-Acting Reversible Contraception</w:t>
            </w:r>
          </w:p>
        </w:tc>
      </w:tr>
      <w:tr w:rsidR="00F878D0" w:rsidRPr="00F878D0" w14:paraId="75D889A1" w14:textId="77777777" w:rsidTr="00E74A37">
        <w:trPr>
          <w:trHeight w:val="288"/>
        </w:trPr>
        <w:tc>
          <w:tcPr>
            <w:tcW w:w="1455" w:type="dxa"/>
          </w:tcPr>
          <w:p w14:paraId="50D16779" w14:textId="77777777" w:rsidR="00F878D0" w:rsidRPr="00F878D0" w:rsidRDefault="00F878D0" w:rsidP="00F86EFD">
            <w:pPr>
              <w:rPr>
                <w:rFonts w:cs="Calibri"/>
                <w:sz w:val="24"/>
                <w:szCs w:val="24"/>
              </w:rPr>
            </w:pPr>
            <w:r w:rsidRPr="00F878D0">
              <w:rPr>
                <w:rFonts w:cs="Calibri"/>
                <w:sz w:val="24"/>
                <w:szCs w:val="24"/>
              </w:rPr>
              <w:t>LCSW</w:t>
            </w:r>
          </w:p>
        </w:tc>
        <w:tc>
          <w:tcPr>
            <w:tcW w:w="8310" w:type="dxa"/>
          </w:tcPr>
          <w:p w14:paraId="0C7B6B85" w14:textId="77777777" w:rsidR="00F878D0" w:rsidRPr="00F878D0" w:rsidRDefault="00F878D0" w:rsidP="00F86EFD">
            <w:pPr>
              <w:rPr>
                <w:rFonts w:cs="Calibri"/>
                <w:sz w:val="24"/>
                <w:szCs w:val="24"/>
              </w:rPr>
            </w:pPr>
            <w:r w:rsidRPr="00F878D0">
              <w:rPr>
                <w:rFonts w:cs="Calibri"/>
                <w:sz w:val="24"/>
                <w:szCs w:val="24"/>
              </w:rPr>
              <w:t>Licensed Clinical Social Worker</w:t>
            </w:r>
          </w:p>
        </w:tc>
      </w:tr>
      <w:tr w:rsidR="00F878D0" w:rsidRPr="00F878D0" w14:paraId="78844F7D" w14:textId="77777777" w:rsidTr="00E74A37">
        <w:trPr>
          <w:trHeight w:val="288"/>
        </w:trPr>
        <w:tc>
          <w:tcPr>
            <w:tcW w:w="1455" w:type="dxa"/>
          </w:tcPr>
          <w:p w14:paraId="0F24EE29" w14:textId="77777777" w:rsidR="00F878D0" w:rsidRPr="00F878D0" w:rsidRDefault="00F878D0" w:rsidP="00F86EFD">
            <w:pPr>
              <w:rPr>
                <w:rFonts w:cs="Calibri"/>
                <w:sz w:val="24"/>
                <w:szCs w:val="24"/>
              </w:rPr>
            </w:pPr>
            <w:r w:rsidRPr="00F878D0">
              <w:rPr>
                <w:rFonts w:cs="Calibri"/>
                <w:sz w:val="24"/>
                <w:szCs w:val="24"/>
              </w:rPr>
              <w:t>LICSW</w:t>
            </w:r>
          </w:p>
        </w:tc>
        <w:tc>
          <w:tcPr>
            <w:tcW w:w="8310" w:type="dxa"/>
          </w:tcPr>
          <w:p w14:paraId="16D15A5D" w14:textId="77777777" w:rsidR="00F878D0" w:rsidRPr="00F878D0" w:rsidRDefault="00F878D0" w:rsidP="00F86EFD">
            <w:pPr>
              <w:rPr>
                <w:rFonts w:cs="Calibri"/>
                <w:sz w:val="24"/>
                <w:szCs w:val="24"/>
              </w:rPr>
            </w:pPr>
            <w:r w:rsidRPr="00F878D0">
              <w:rPr>
                <w:rFonts w:cs="Calibri"/>
                <w:sz w:val="24"/>
                <w:szCs w:val="24"/>
              </w:rPr>
              <w:t>Licensed Independent Clinical Social Worker</w:t>
            </w:r>
          </w:p>
        </w:tc>
      </w:tr>
      <w:tr w:rsidR="00F878D0" w:rsidRPr="00F878D0" w14:paraId="7FA6FE2A" w14:textId="77777777" w:rsidTr="00E74A37">
        <w:trPr>
          <w:trHeight w:val="288"/>
        </w:trPr>
        <w:tc>
          <w:tcPr>
            <w:tcW w:w="1455" w:type="dxa"/>
          </w:tcPr>
          <w:p w14:paraId="06EA66F9" w14:textId="77777777" w:rsidR="00F878D0" w:rsidRPr="00F878D0" w:rsidRDefault="00F878D0" w:rsidP="00F86EFD">
            <w:pPr>
              <w:rPr>
                <w:rFonts w:cs="Calibri"/>
                <w:sz w:val="24"/>
                <w:szCs w:val="24"/>
              </w:rPr>
            </w:pPr>
            <w:r w:rsidRPr="00F878D0">
              <w:rPr>
                <w:rFonts w:cs="Calibri"/>
                <w:sz w:val="24"/>
                <w:szCs w:val="24"/>
              </w:rPr>
              <w:t>LMFT</w:t>
            </w:r>
          </w:p>
        </w:tc>
        <w:tc>
          <w:tcPr>
            <w:tcW w:w="8310" w:type="dxa"/>
          </w:tcPr>
          <w:p w14:paraId="697D1BF9" w14:textId="77777777" w:rsidR="00F878D0" w:rsidRPr="00F878D0" w:rsidRDefault="00F878D0" w:rsidP="00F86EFD">
            <w:pPr>
              <w:rPr>
                <w:rFonts w:cs="Calibri"/>
                <w:sz w:val="24"/>
                <w:szCs w:val="24"/>
              </w:rPr>
            </w:pPr>
            <w:r w:rsidRPr="00F878D0">
              <w:rPr>
                <w:rFonts w:cs="Calibri"/>
                <w:sz w:val="24"/>
                <w:szCs w:val="24"/>
              </w:rPr>
              <w:t>Licensed Marriage and Family Therapist</w:t>
            </w:r>
          </w:p>
        </w:tc>
      </w:tr>
      <w:tr w:rsidR="00F878D0" w:rsidRPr="00F878D0" w14:paraId="273AB723" w14:textId="77777777" w:rsidTr="00E74A37">
        <w:trPr>
          <w:trHeight w:val="288"/>
        </w:trPr>
        <w:tc>
          <w:tcPr>
            <w:tcW w:w="1455" w:type="dxa"/>
          </w:tcPr>
          <w:p w14:paraId="447181E0" w14:textId="77777777" w:rsidR="00F878D0" w:rsidRPr="00F878D0" w:rsidRDefault="00F878D0" w:rsidP="00F86EFD">
            <w:pPr>
              <w:rPr>
                <w:rFonts w:cs="Calibri"/>
                <w:sz w:val="24"/>
                <w:szCs w:val="24"/>
              </w:rPr>
            </w:pPr>
            <w:r w:rsidRPr="00F878D0">
              <w:rPr>
                <w:rFonts w:cs="Calibri"/>
                <w:sz w:val="24"/>
                <w:szCs w:val="24"/>
              </w:rPr>
              <w:t>LMHC</w:t>
            </w:r>
          </w:p>
        </w:tc>
        <w:tc>
          <w:tcPr>
            <w:tcW w:w="8310" w:type="dxa"/>
          </w:tcPr>
          <w:p w14:paraId="51904883" w14:textId="77777777" w:rsidR="00F878D0" w:rsidRPr="00F878D0" w:rsidRDefault="00F878D0" w:rsidP="00F86EFD">
            <w:pPr>
              <w:rPr>
                <w:rFonts w:cs="Calibri"/>
                <w:sz w:val="24"/>
                <w:szCs w:val="24"/>
              </w:rPr>
            </w:pPr>
            <w:r w:rsidRPr="00F878D0">
              <w:rPr>
                <w:rFonts w:cs="Calibri"/>
                <w:sz w:val="24"/>
                <w:szCs w:val="24"/>
              </w:rPr>
              <w:t>Licensed Mental Health Counselor</w:t>
            </w:r>
          </w:p>
        </w:tc>
      </w:tr>
      <w:tr w:rsidR="00F878D0" w:rsidRPr="00F878D0" w14:paraId="2910C214" w14:textId="77777777" w:rsidTr="00E74A37">
        <w:trPr>
          <w:trHeight w:val="288"/>
        </w:trPr>
        <w:tc>
          <w:tcPr>
            <w:tcW w:w="1455" w:type="dxa"/>
          </w:tcPr>
          <w:p w14:paraId="129082A0" w14:textId="77777777" w:rsidR="00F878D0" w:rsidRPr="00F878D0" w:rsidRDefault="00F878D0" w:rsidP="00F86EFD">
            <w:pPr>
              <w:rPr>
                <w:rFonts w:cs="Calibri"/>
                <w:sz w:val="24"/>
                <w:szCs w:val="24"/>
              </w:rPr>
            </w:pPr>
            <w:r w:rsidRPr="00F878D0">
              <w:rPr>
                <w:rFonts w:cs="Calibri"/>
                <w:sz w:val="24"/>
                <w:szCs w:val="24"/>
              </w:rPr>
              <w:t>M4M</w:t>
            </w:r>
          </w:p>
        </w:tc>
        <w:tc>
          <w:tcPr>
            <w:tcW w:w="8310" w:type="dxa"/>
          </w:tcPr>
          <w:p w14:paraId="4CEFDD7C" w14:textId="77777777" w:rsidR="00F878D0" w:rsidRPr="00F878D0" w:rsidRDefault="00F878D0" w:rsidP="00F86EFD">
            <w:pPr>
              <w:rPr>
                <w:rFonts w:cs="Calibri"/>
                <w:sz w:val="24"/>
                <w:szCs w:val="24"/>
              </w:rPr>
            </w:pPr>
            <w:r w:rsidRPr="00F878D0">
              <w:rPr>
                <w:rFonts w:cs="Calibri"/>
                <w:sz w:val="24"/>
                <w:szCs w:val="24"/>
              </w:rPr>
              <w:t>Massachusetts Child Psychiatry Access Program for Moms</w:t>
            </w:r>
          </w:p>
        </w:tc>
      </w:tr>
      <w:tr w:rsidR="00F878D0" w:rsidRPr="00F878D0" w14:paraId="27CDC69D" w14:textId="77777777" w:rsidTr="00E74A37">
        <w:trPr>
          <w:trHeight w:val="288"/>
        </w:trPr>
        <w:tc>
          <w:tcPr>
            <w:tcW w:w="1455" w:type="dxa"/>
          </w:tcPr>
          <w:p w14:paraId="02F23F8D" w14:textId="77777777" w:rsidR="00F878D0" w:rsidRPr="00F878D0" w:rsidRDefault="00F878D0" w:rsidP="00F86EFD">
            <w:pPr>
              <w:rPr>
                <w:rFonts w:cs="Calibri"/>
                <w:sz w:val="24"/>
                <w:szCs w:val="24"/>
              </w:rPr>
            </w:pPr>
            <w:r w:rsidRPr="00F878D0">
              <w:rPr>
                <w:rFonts w:cs="Calibri"/>
                <w:sz w:val="24"/>
                <w:szCs w:val="24"/>
              </w:rPr>
              <w:t>Mass PAT</w:t>
            </w:r>
          </w:p>
        </w:tc>
        <w:tc>
          <w:tcPr>
            <w:tcW w:w="8310" w:type="dxa"/>
          </w:tcPr>
          <w:p w14:paraId="227CC63D" w14:textId="77777777" w:rsidR="00F878D0" w:rsidRPr="00F878D0" w:rsidRDefault="00F878D0" w:rsidP="00F86EFD">
            <w:pPr>
              <w:rPr>
                <w:rFonts w:cs="Calibri"/>
                <w:sz w:val="24"/>
                <w:szCs w:val="24"/>
              </w:rPr>
            </w:pPr>
            <w:r w:rsidRPr="00F878D0">
              <w:rPr>
                <w:rFonts w:cs="Calibri"/>
                <w:sz w:val="24"/>
                <w:szCs w:val="24"/>
              </w:rPr>
              <w:t>Massachusetts Prescription Awareness Tool</w:t>
            </w:r>
          </w:p>
        </w:tc>
      </w:tr>
      <w:tr w:rsidR="00F878D0" w:rsidRPr="00F878D0" w14:paraId="52437EDA" w14:textId="77777777" w:rsidTr="00E74A37">
        <w:trPr>
          <w:trHeight w:val="288"/>
        </w:trPr>
        <w:tc>
          <w:tcPr>
            <w:tcW w:w="1455" w:type="dxa"/>
          </w:tcPr>
          <w:p w14:paraId="1C494536" w14:textId="77777777" w:rsidR="00F878D0" w:rsidRPr="00F878D0" w:rsidRDefault="00F878D0" w:rsidP="00F86EFD">
            <w:pPr>
              <w:rPr>
                <w:rFonts w:cs="Calibri"/>
                <w:sz w:val="24"/>
                <w:szCs w:val="24"/>
              </w:rPr>
            </w:pPr>
            <w:r w:rsidRPr="00F878D0">
              <w:rPr>
                <w:rFonts w:cs="Calibri"/>
                <w:sz w:val="24"/>
                <w:szCs w:val="24"/>
              </w:rPr>
              <w:t>MCPAP</w:t>
            </w:r>
          </w:p>
        </w:tc>
        <w:tc>
          <w:tcPr>
            <w:tcW w:w="8310" w:type="dxa"/>
          </w:tcPr>
          <w:p w14:paraId="41F0E9BB" w14:textId="77777777" w:rsidR="00F878D0" w:rsidRPr="00F878D0" w:rsidRDefault="00F878D0" w:rsidP="00F86EFD">
            <w:pPr>
              <w:rPr>
                <w:rFonts w:cs="Calibri"/>
                <w:sz w:val="24"/>
                <w:szCs w:val="24"/>
              </w:rPr>
            </w:pPr>
            <w:r w:rsidRPr="00F878D0">
              <w:rPr>
                <w:rFonts w:cs="Calibri"/>
                <w:sz w:val="24"/>
                <w:szCs w:val="24"/>
              </w:rPr>
              <w:t>Massachusetts Child Psychiatry Access Program</w:t>
            </w:r>
          </w:p>
        </w:tc>
      </w:tr>
      <w:tr w:rsidR="00F878D0" w:rsidRPr="00F878D0" w14:paraId="63DEC373" w14:textId="77777777" w:rsidTr="00E74A37">
        <w:trPr>
          <w:trHeight w:val="288"/>
        </w:trPr>
        <w:tc>
          <w:tcPr>
            <w:tcW w:w="1455" w:type="dxa"/>
          </w:tcPr>
          <w:p w14:paraId="02665BD3" w14:textId="77777777" w:rsidR="00F878D0" w:rsidRPr="00F878D0" w:rsidRDefault="00F878D0" w:rsidP="00F86EFD">
            <w:pPr>
              <w:rPr>
                <w:rFonts w:cs="Calibri"/>
                <w:sz w:val="24"/>
                <w:szCs w:val="24"/>
              </w:rPr>
            </w:pPr>
            <w:r w:rsidRPr="00F878D0">
              <w:rPr>
                <w:rFonts w:cs="Calibri"/>
                <w:sz w:val="24"/>
                <w:szCs w:val="24"/>
              </w:rPr>
              <w:t>MOUD</w:t>
            </w:r>
          </w:p>
        </w:tc>
        <w:tc>
          <w:tcPr>
            <w:tcW w:w="8310" w:type="dxa"/>
          </w:tcPr>
          <w:p w14:paraId="2BDD4CF9" w14:textId="77777777" w:rsidR="00F878D0" w:rsidRPr="00F878D0" w:rsidRDefault="00F878D0" w:rsidP="00F86EFD">
            <w:pPr>
              <w:rPr>
                <w:rFonts w:cs="Calibri"/>
                <w:sz w:val="24"/>
                <w:szCs w:val="24"/>
              </w:rPr>
            </w:pPr>
            <w:r w:rsidRPr="00F878D0">
              <w:rPr>
                <w:rFonts w:cs="Calibri"/>
                <w:sz w:val="24"/>
                <w:szCs w:val="24"/>
              </w:rPr>
              <w:t>Medication for Opioid Use Disorder</w:t>
            </w:r>
          </w:p>
        </w:tc>
      </w:tr>
      <w:tr w:rsidR="00F878D0" w:rsidRPr="00F878D0" w14:paraId="16338FF7" w14:textId="77777777" w:rsidTr="00E74A37">
        <w:trPr>
          <w:trHeight w:val="288"/>
        </w:trPr>
        <w:tc>
          <w:tcPr>
            <w:tcW w:w="1455" w:type="dxa"/>
          </w:tcPr>
          <w:p w14:paraId="73FCFF32" w14:textId="77777777" w:rsidR="00F878D0" w:rsidRPr="00F878D0" w:rsidRDefault="00F878D0" w:rsidP="00F86EFD">
            <w:pPr>
              <w:rPr>
                <w:rFonts w:cs="Calibri"/>
                <w:sz w:val="24"/>
                <w:szCs w:val="24"/>
              </w:rPr>
            </w:pPr>
            <w:r w:rsidRPr="00F878D0">
              <w:rPr>
                <w:rFonts w:cs="Calibri"/>
                <w:sz w:val="24"/>
                <w:szCs w:val="24"/>
              </w:rPr>
              <w:t>MSW</w:t>
            </w:r>
          </w:p>
        </w:tc>
        <w:tc>
          <w:tcPr>
            <w:tcW w:w="8310" w:type="dxa"/>
          </w:tcPr>
          <w:p w14:paraId="4BD71AFF" w14:textId="77777777" w:rsidR="00F878D0" w:rsidRPr="00F878D0" w:rsidRDefault="00F878D0" w:rsidP="00F86EFD">
            <w:pPr>
              <w:rPr>
                <w:rFonts w:cs="Calibri"/>
                <w:sz w:val="24"/>
                <w:szCs w:val="24"/>
              </w:rPr>
            </w:pPr>
            <w:r w:rsidRPr="00F878D0">
              <w:rPr>
                <w:rFonts w:cs="Calibri"/>
                <w:sz w:val="24"/>
                <w:szCs w:val="24"/>
              </w:rPr>
              <w:t>Master of Social Work</w:t>
            </w:r>
          </w:p>
        </w:tc>
      </w:tr>
      <w:tr w:rsidR="00F878D0" w:rsidRPr="00F878D0" w14:paraId="17547C7C" w14:textId="77777777" w:rsidTr="00E74A37">
        <w:trPr>
          <w:trHeight w:val="288"/>
        </w:trPr>
        <w:tc>
          <w:tcPr>
            <w:tcW w:w="1455" w:type="dxa"/>
          </w:tcPr>
          <w:p w14:paraId="5326BCB6" w14:textId="77777777" w:rsidR="00F878D0" w:rsidRPr="00F878D0" w:rsidRDefault="00F878D0" w:rsidP="00F86EFD">
            <w:pPr>
              <w:rPr>
                <w:rFonts w:cs="Calibri"/>
                <w:sz w:val="24"/>
                <w:szCs w:val="24"/>
              </w:rPr>
            </w:pPr>
            <w:r w:rsidRPr="00F878D0">
              <w:rPr>
                <w:rFonts w:cs="Calibri"/>
                <w:sz w:val="24"/>
                <w:szCs w:val="24"/>
              </w:rPr>
              <w:t>NOI</w:t>
            </w:r>
          </w:p>
        </w:tc>
        <w:tc>
          <w:tcPr>
            <w:tcW w:w="8310" w:type="dxa"/>
          </w:tcPr>
          <w:p w14:paraId="102284FC" w14:textId="77777777" w:rsidR="00F878D0" w:rsidRPr="00F878D0" w:rsidRDefault="00F878D0" w:rsidP="00F86EFD">
            <w:pPr>
              <w:rPr>
                <w:rFonts w:cs="Calibri"/>
                <w:sz w:val="24"/>
                <w:szCs w:val="24"/>
              </w:rPr>
            </w:pPr>
            <w:r w:rsidRPr="00F878D0">
              <w:rPr>
                <w:rFonts w:cs="Calibri"/>
                <w:sz w:val="24"/>
                <w:szCs w:val="24"/>
              </w:rPr>
              <w:t>Notice of intent</w:t>
            </w:r>
          </w:p>
        </w:tc>
      </w:tr>
      <w:tr w:rsidR="00F878D0" w:rsidRPr="00F878D0" w14:paraId="72073FD1" w14:textId="77777777" w:rsidTr="00E74A37">
        <w:trPr>
          <w:trHeight w:val="288"/>
        </w:trPr>
        <w:tc>
          <w:tcPr>
            <w:tcW w:w="1455" w:type="dxa"/>
          </w:tcPr>
          <w:p w14:paraId="1F731D93" w14:textId="77777777" w:rsidR="00F878D0" w:rsidRPr="00F878D0" w:rsidRDefault="00F878D0" w:rsidP="00F86EFD">
            <w:pPr>
              <w:rPr>
                <w:rFonts w:cs="Calibri"/>
                <w:sz w:val="24"/>
                <w:szCs w:val="24"/>
              </w:rPr>
            </w:pPr>
            <w:r w:rsidRPr="00F878D0">
              <w:rPr>
                <w:rFonts w:cs="Calibri"/>
                <w:sz w:val="24"/>
                <w:szCs w:val="24"/>
              </w:rPr>
              <w:t>SAMHSA</w:t>
            </w:r>
          </w:p>
        </w:tc>
        <w:tc>
          <w:tcPr>
            <w:tcW w:w="8310" w:type="dxa"/>
          </w:tcPr>
          <w:p w14:paraId="1E4256C3" w14:textId="77777777" w:rsidR="00F878D0" w:rsidRPr="00F878D0" w:rsidRDefault="00F878D0" w:rsidP="00F86EFD">
            <w:pPr>
              <w:rPr>
                <w:rFonts w:cs="Calibri"/>
                <w:sz w:val="24"/>
                <w:szCs w:val="24"/>
              </w:rPr>
            </w:pPr>
            <w:r w:rsidRPr="00F878D0">
              <w:rPr>
                <w:rFonts w:cs="Calibri"/>
                <w:sz w:val="24"/>
                <w:szCs w:val="24"/>
              </w:rPr>
              <w:t>Substance Abuse and Mental Health Services Administration</w:t>
            </w:r>
          </w:p>
        </w:tc>
      </w:tr>
      <w:tr w:rsidR="00F878D0" w:rsidRPr="00F878D0" w14:paraId="08B42140" w14:textId="77777777" w:rsidTr="00E74A37">
        <w:trPr>
          <w:trHeight w:val="288"/>
        </w:trPr>
        <w:tc>
          <w:tcPr>
            <w:tcW w:w="1455" w:type="dxa"/>
          </w:tcPr>
          <w:p w14:paraId="1B2831FC" w14:textId="77777777" w:rsidR="00F878D0" w:rsidRPr="00F878D0" w:rsidRDefault="00F878D0" w:rsidP="00F86EFD">
            <w:pPr>
              <w:rPr>
                <w:rFonts w:cs="Calibri"/>
                <w:sz w:val="24"/>
                <w:szCs w:val="24"/>
              </w:rPr>
            </w:pPr>
            <w:r w:rsidRPr="00F878D0">
              <w:rPr>
                <w:rFonts w:cs="Calibri"/>
                <w:sz w:val="24"/>
                <w:szCs w:val="24"/>
              </w:rPr>
              <w:t>SBIRT</w:t>
            </w:r>
          </w:p>
        </w:tc>
        <w:tc>
          <w:tcPr>
            <w:tcW w:w="8310" w:type="dxa"/>
          </w:tcPr>
          <w:p w14:paraId="70124A2A" w14:textId="77777777" w:rsidR="00F878D0" w:rsidRPr="00F878D0" w:rsidRDefault="00F878D0" w:rsidP="00F86EFD">
            <w:pPr>
              <w:rPr>
                <w:rFonts w:cs="Calibri"/>
                <w:sz w:val="24"/>
                <w:szCs w:val="24"/>
              </w:rPr>
            </w:pPr>
            <w:r w:rsidRPr="00F878D0">
              <w:rPr>
                <w:rFonts w:cs="Calibri"/>
                <w:sz w:val="24"/>
                <w:szCs w:val="24"/>
              </w:rPr>
              <w:t>Screening, Brief Intervention, and Referral to Treatment</w:t>
            </w:r>
          </w:p>
        </w:tc>
      </w:tr>
      <w:tr w:rsidR="00F878D0" w:rsidRPr="00F878D0" w14:paraId="2BE13DDB" w14:textId="77777777" w:rsidTr="00E74A37">
        <w:trPr>
          <w:trHeight w:val="288"/>
        </w:trPr>
        <w:tc>
          <w:tcPr>
            <w:tcW w:w="1455" w:type="dxa"/>
          </w:tcPr>
          <w:p w14:paraId="016C4EA0" w14:textId="77777777" w:rsidR="00F878D0" w:rsidRPr="00F878D0" w:rsidRDefault="00F878D0" w:rsidP="00F86EFD">
            <w:pPr>
              <w:rPr>
                <w:rFonts w:cs="Calibri"/>
                <w:sz w:val="24"/>
                <w:szCs w:val="24"/>
              </w:rPr>
            </w:pPr>
            <w:r w:rsidRPr="00F878D0">
              <w:rPr>
                <w:rFonts w:cs="Calibri"/>
                <w:sz w:val="24"/>
                <w:szCs w:val="24"/>
              </w:rPr>
              <w:t>SNAP</w:t>
            </w:r>
          </w:p>
        </w:tc>
        <w:tc>
          <w:tcPr>
            <w:tcW w:w="8310" w:type="dxa"/>
          </w:tcPr>
          <w:p w14:paraId="3310F058" w14:textId="77777777" w:rsidR="00F878D0" w:rsidRPr="00F878D0" w:rsidRDefault="00F878D0" w:rsidP="00F86EFD">
            <w:pPr>
              <w:rPr>
                <w:rFonts w:cs="Calibri"/>
                <w:sz w:val="24"/>
                <w:szCs w:val="24"/>
              </w:rPr>
            </w:pPr>
            <w:r w:rsidRPr="00F878D0">
              <w:rPr>
                <w:rFonts w:cs="Calibri"/>
                <w:sz w:val="24"/>
                <w:szCs w:val="24"/>
              </w:rPr>
              <w:t>Supplemental Nutrition Assistance Program</w:t>
            </w:r>
          </w:p>
        </w:tc>
      </w:tr>
      <w:tr w:rsidR="00F878D0" w:rsidRPr="00F878D0" w14:paraId="51AB7DEC" w14:textId="77777777" w:rsidTr="00E31411">
        <w:tc>
          <w:tcPr>
            <w:tcW w:w="1455" w:type="dxa"/>
          </w:tcPr>
          <w:p w14:paraId="7B0ED063" w14:textId="77777777" w:rsidR="00F878D0" w:rsidRPr="00F878D0" w:rsidRDefault="00F878D0" w:rsidP="00F86EFD">
            <w:pPr>
              <w:rPr>
                <w:rFonts w:cs="Calibri"/>
                <w:sz w:val="24"/>
                <w:szCs w:val="24"/>
              </w:rPr>
            </w:pPr>
            <w:r w:rsidRPr="00F878D0">
              <w:rPr>
                <w:rFonts w:cs="Calibri"/>
                <w:sz w:val="24"/>
                <w:szCs w:val="24"/>
              </w:rPr>
              <w:t>WIC</w:t>
            </w:r>
          </w:p>
        </w:tc>
        <w:tc>
          <w:tcPr>
            <w:tcW w:w="8310" w:type="dxa"/>
          </w:tcPr>
          <w:p w14:paraId="025D55A6" w14:textId="77777777" w:rsidR="00F878D0" w:rsidRPr="00F878D0" w:rsidRDefault="00F878D0" w:rsidP="00F86EFD">
            <w:pPr>
              <w:rPr>
                <w:rFonts w:cs="Calibri"/>
                <w:sz w:val="24"/>
                <w:szCs w:val="24"/>
              </w:rPr>
            </w:pPr>
            <w:r w:rsidRPr="00F878D0">
              <w:rPr>
                <w:rFonts w:cs="Calibri"/>
                <w:sz w:val="24"/>
                <w:szCs w:val="24"/>
              </w:rPr>
              <w:t>Special Supplemental Nutrition Assistance Program for Women, Infants, and Children</w:t>
            </w:r>
          </w:p>
        </w:tc>
      </w:tr>
    </w:tbl>
    <w:p w14:paraId="7A27FE94" w14:textId="3A9F0CF5" w:rsidR="00F878D0" w:rsidRPr="00093B9E" w:rsidDel="00697766" w:rsidRDefault="00F878D0" w:rsidP="36AF73CC">
      <w:pPr>
        <w:spacing w:before="120" w:after="120"/>
        <w:ind w:left="270"/>
        <w:rPr>
          <w:b/>
          <w:bCs/>
          <w:sz w:val="24"/>
          <w:szCs w:val="24"/>
        </w:rPr>
      </w:pPr>
    </w:p>
    <w:p w14:paraId="69E8E327" w14:textId="0896E57B" w:rsidR="36AF73CC" w:rsidRDefault="36AF73CC"/>
    <w:p w14:paraId="40F1D89C" w14:textId="1DE611CB" w:rsidR="36AF73CC" w:rsidRDefault="36AF73CC"/>
    <w:p w14:paraId="23ADB882" w14:textId="34264175" w:rsidR="36AF73CC" w:rsidRDefault="36AF73CC"/>
    <w:p w14:paraId="60E6ACF9" w14:textId="72CF13D3" w:rsidR="36AF73CC" w:rsidRDefault="36AF73CC"/>
    <w:p w14:paraId="6AB1EA97" w14:textId="33C28211" w:rsidR="00F878D0" w:rsidRPr="00D07512" w:rsidRDefault="00F878D0" w:rsidP="00D07512">
      <w:pPr>
        <w:ind w:left="280"/>
        <w:rPr>
          <w:rFonts w:cs="Calibri"/>
          <w:b/>
          <w:sz w:val="24"/>
          <w:szCs w:val="24"/>
        </w:rPr>
      </w:pPr>
    </w:p>
    <w:sectPr w:rsidR="00F878D0" w:rsidRPr="00D07512" w:rsidSect="007A28A0">
      <w:headerReference w:type="default" r:id="rId33"/>
      <w:footerReference w:type="default" r:id="rId34"/>
      <w:footerReference w:type="first" r:id="rId35"/>
      <w:pgSz w:w="12240" w:h="15840"/>
      <w:pgMar w:top="720" w:right="1440" w:bottom="1440" w:left="720" w:header="0" w:footer="576" w:gutter="0"/>
      <w:cols w:space="0" w:equalWidth="0">
        <w:col w:w="1008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1FFC" w14:textId="77777777" w:rsidR="00266A77" w:rsidRDefault="00266A77" w:rsidP="00202A34">
      <w:r>
        <w:separator/>
      </w:r>
    </w:p>
  </w:endnote>
  <w:endnote w:type="continuationSeparator" w:id="0">
    <w:p w14:paraId="25E8A119" w14:textId="77777777" w:rsidR="00266A77" w:rsidRDefault="00266A77" w:rsidP="00202A34">
      <w:r>
        <w:continuationSeparator/>
      </w:r>
    </w:p>
  </w:endnote>
  <w:endnote w:type="continuationNotice" w:id="1">
    <w:p w14:paraId="082851F6" w14:textId="77777777" w:rsidR="00266A77" w:rsidRDefault="00266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73A9" w14:textId="1AC51D79" w:rsidR="00202A34" w:rsidRPr="00BB7BBD" w:rsidRDefault="00DB543A">
    <w:pPr>
      <w:pStyle w:val="Footer"/>
      <w:rPr>
        <w:rFonts w:asciiTheme="minorHAnsi" w:hAnsiTheme="minorHAnsi" w:cstheme="minorHAnsi"/>
        <w:sz w:val="22"/>
        <w:szCs w:val="22"/>
      </w:rPr>
    </w:pPr>
    <w:r w:rsidRPr="00DB543A">
      <w:rPr>
        <w:rFonts w:asciiTheme="minorHAnsi" w:hAnsiTheme="minorHAnsi" w:cstheme="minorHAnsi"/>
        <w:sz w:val="22"/>
        <w:szCs w:val="22"/>
      </w:rPr>
      <w:t xml:space="preserve">ACO RFR Attachment A, Model </w:t>
    </w:r>
    <w:r w:rsidR="00202A34" w:rsidRPr="00BB7BBD">
      <w:rPr>
        <w:rFonts w:asciiTheme="minorHAnsi" w:hAnsiTheme="minorHAnsi" w:cstheme="minorHAnsi"/>
        <w:sz w:val="22"/>
        <w:szCs w:val="22"/>
      </w:rPr>
      <w:t>Accountable Care Partnership Plan Contract</w:t>
    </w:r>
  </w:p>
  <w:p w14:paraId="4D0A89CD" w14:textId="30077E03" w:rsidR="00202A34" w:rsidRPr="00BB7BBD" w:rsidRDefault="00202A34">
    <w:pPr>
      <w:pStyle w:val="Footer"/>
      <w:rPr>
        <w:rFonts w:asciiTheme="minorHAnsi" w:hAnsiTheme="minorHAnsi" w:cstheme="minorHAnsi"/>
        <w:sz w:val="22"/>
        <w:szCs w:val="22"/>
      </w:rPr>
    </w:pPr>
    <w:r w:rsidRPr="00BB7BBD">
      <w:rPr>
        <w:rFonts w:asciiTheme="minorHAnsi" w:hAnsiTheme="minorHAnsi" w:cstheme="minorHAnsi"/>
        <w:sz w:val="22"/>
        <w:szCs w:val="22"/>
      </w:rPr>
      <w:t xml:space="preserve">Appendix K </w:t>
    </w:r>
    <w:r w:rsidR="00BB7BBD" w:rsidRPr="00BB7BBD">
      <w:rPr>
        <w:rFonts w:asciiTheme="minorHAnsi" w:hAnsiTheme="minorHAnsi" w:cstheme="minorHAnsi"/>
        <w:sz w:val="22"/>
        <w:szCs w:val="22"/>
      </w:rPr>
      <w:t>–</w:t>
    </w:r>
    <w:r w:rsidRPr="00BB7BBD">
      <w:rPr>
        <w:rFonts w:asciiTheme="minorHAnsi" w:hAnsiTheme="minorHAnsi" w:cstheme="minorHAnsi"/>
        <w:sz w:val="22"/>
        <w:szCs w:val="22"/>
      </w:rPr>
      <w:t xml:space="preserve"> Primary Care Sub-Capitation Program</w:t>
    </w:r>
    <w:r w:rsidR="00BB7BBD">
      <w:rPr>
        <w:rFonts w:asciiTheme="minorHAnsi" w:hAnsiTheme="minorHAnsi" w:cstheme="minorHAnsi"/>
        <w:sz w:val="22"/>
        <w:szCs w:val="22"/>
      </w:rPr>
      <w:tab/>
    </w:r>
    <w:r w:rsidR="00BB7BBD">
      <w:rPr>
        <w:rFonts w:asciiTheme="minorHAnsi" w:hAnsiTheme="minorHAnsi" w:cstheme="minorHAnsi"/>
        <w:sz w:val="22"/>
        <w:szCs w:val="22"/>
      </w:rPr>
      <w:tab/>
    </w:r>
    <w:r w:rsidR="00BB7BBD" w:rsidRPr="00BB7BBD">
      <w:rPr>
        <w:rFonts w:asciiTheme="minorHAnsi" w:hAnsiTheme="minorHAnsi" w:cstheme="minorHAnsi"/>
        <w:sz w:val="22"/>
        <w:szCs w:val="22"/>
      </w:rPr>
      <w:fldChar w:fldCharType="begin"/>
    </w:r>
    <w:r w:rsidR="00BB7BBD" w:rsidRPr="00BB7BBD">
      <w:rPr>
        <w:rFonts w:asciiTheme="minorHAnsi" w:hAnsiTheme="minorHAnsi" w:cstheme="minorHAnsi"/>
        <w:sz w:val="22"/>
        <w:szCs w:val="22"/>
      </w:rPr>
      <w:instrText xml:space="preserve"> PAGE   \* MERGEFORMAT </w:instrText>
    </w:r>
    <w:r w:rsidR="00BB7BBD" w:rsidRPr="00BB7BBD">
      <w:rPr>
        <w:rFonts w:asciiTheme="minorHAnsi" w:hAnsiTheme="minorHAnsi" w:cstheme="minorHAnsi"/>
        <w:sz w:val="22"/>
        <w:szCs w:val="22"/>
      </w:rPr>
      <w:fldChar w:fldCharType="separate"/>
    </w:r>
    <w:r w:rsidR="00BB7BBD" w:rsidRPr="00BB7BBD">
      <w:rPr>
        <w:rFonts w:asciiTheme="minorHAnsi" w:hAnsiTheme="minorHAnsi" w:cstheme="minorHAnsi"/>
        <w:noProof/>
        <w:sz w:val="22"/>
        <w:szCs w:val="22"/>
      </w:rPr>
      <w:t>1</w:t>
    </w:r>
    <w:r w:rsidR="00BB7BBD" w:rsidRPr="00BB7BBD">
      <w:rPr>
        <w:rFonts w:asciiTheme="minorHAnsi" w:hAnsiTheme="minorHAnsi" w:cs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DCC3" w14:textId="3872BBAF" w:rsidR="00BB7BBD" w:rsidRPr="00BB7BBD" w:rsidRDefault="00DB543A" w:rsidP="00BB7BBD">
    <w:pPr>
      <w:pStyle w:val="Footer"/>
      <w:rPr>
        <w:rFonts w:asciiTheme="minorHAnsi" w:hAnsiTheme="minorHAnsi" w:cstheme="minorHAnsi"/>
        <w:sz w:val="22"/>
        <w:szCs w:val="22"/>
      </w:rPr>
    </w:pPr>
    <w:r w:rsidRPr="00DB543A">
      <w:rPr>
        <w:rFonts w:asciiTheme="minorHAnsi" w:hAnsiTheme="minorHAnsi" w:cstheme="minorHAnsi"/>
        <w:sz w:val="22"/>
        <w:szCs w:val="22"/>
      </w:rPr>
      <w:t xml:space="preserve">ACO RFR Attachment A, Model </w:t>
    </w:r>
    <w:r w:rsidR="00BB7BBD" w:rsidRPr="00BB7BBD">
      <w:rPr>
        <w:rFonts w:asciiTheme="minorHAnsi" w:hAnsiTheme="minorHAnsi" w:cstheme="minorHAnsi"/>
        <w:sz w:val="22"/>
        <w:szCs w:val="22"/>
      </w:rPr>
      <w:t>Accountable Care Partnership Plan Contract</w:t>
    </w:r>
  </w:p>
  <w:p w14:paraId="79CA677B" w14:textId="73ADEA7F" w:rsidR="00BB7BBD" w:rsidRPr="00BB7BBD" w:rsidRDefault="00BB7BBD">
    <w:pPr>
      <w:pStyle w:val="Footer"/>
      <w:rPr>
        <w:rFonts w:asciiTheme="minorHAnsi" w:hAnsiTheme="minorHAnsi" w:cstheme="minorHAnsi"/>
        <w:sz w:val="22"/>
        <w:szCs w:val="22"/>
      </w:rPr>
    </w:pPr>
    <w:r w:rsidRPr="00BB7BBD">
      <w:rPr>
        <w:rFonts w:asciiTheme="minorHAnsi" w:hAnsiTheme="minorHAnsi" w:cstheme="minorHAnsi"/>
        <w:sz w:val="22"/>
        <w:szCs w:val="22"/>
      </w:rPr>
      <w:t>Appendix K – Primary Care Sub-Capitation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1CF8" w14:textId="77777777" w:rsidR="00266A77" w:rsidRDefault="00266A77" w:rsidP="00202A34">
      <w:r>
        <w:separator/>
      </w:r>
    </w:p>
  </w:footnote>
  <w:footnote w:type="continuationSeparator" w:id="0">
    <w:p w14:paraId="69ABAE23" w14:textId="77777777" w:rsidR="00266A77" w:rsidRDefault="00266A77" w:rsidP="00202A34">
      <w:r>
        <w:continuationSeparator/>
      </w:r>
    </w:p>
  </w:footnote>
  <w:footnote w:type="continuationNotice" w:id="1">
    <w:p w14:paraId="2F7FAA75" w14:textId="77777777" w:rsidR="00266A77" w:rsidRDefault="00266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7579" w14:textId="77777777" w:rsidR="00BB6C28" w:rsidRDefault="00BB6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E66335E">
      <w:start w:val="1"/>
      <w:numFmt w:val="decimal"/>
      <w:lvlText w:val="(%1)"/>
      <w:lvlJc w:val="left"/>
    </w:lvl>
    <w:lvl w:ilvl="1" w:tplc="F0B8428E">
      <w:start w:val="1"/>
      <w:numFmt w:val="lowerLetter"/>
      <w:lvlText w:val="(%2)"/>
      <w:lvlJc w:val="left"/>
    </w:lvl>
    <w:lvl w:ilvl="2" w:tplc="C498B23C">
      <w:start w:val="1"/>
      <w:numFmt w:val="bullet"/>
      <w:lvlText w:val=""/>
      <w:lvlJc w:val="left"/>
    </w:lvl>
    <w:lvl w:ilvl="3" w:tplc="2BC227D6">
      <w:start w:val="1"/>
      <w:numFmt w:val="bullet"/>
      <w:lvlText w:val=""/>
      <w:lvlJc w:val="left"/>
    </w:lvl>
    <w:lvl w:ilvl="4" w:tplc="A48C3C80">
      <w:start w:val="1"/>
      <w:numFmt w:val="bullet"/>
      <w:lvlText w:val=""/>
      <w:lvlJc w:val="left"/>
    </w:lvl>
    <w:lvl w:ilvl="5" w:tplc="61D0F8E8">
      <w:start w:val="1"/>
      <w:numFmt w:val="bullet"/>
      <w:lvlText w:val=""/>
      <w:lvlJc w:val="left"/>
    </w:lvl>
    <w:lvl w:ilvl="6" w:tplc="9B90871C">
      <w:start w:val="1"/>
      <w:numFmt w:val="bullet"/>
      <w:lvlText w:val=""/>
      <w:lvlJc w:val="left"/>
    </w:lvl>
    <w:lvl w:ilvl="7" w:tplc="DE305AD4">
      <w:start w:val="1"/>
      <w:numFmt w:val="bullet"/>
      <w:lvlText w:val=""/>
      <w:lvlJc w:val="left"/>
    </w:lvl>
    <w:lvl w:ilvl="8" w:tplc="E6E69EBE">
      <w:start w:val="1"/>
      <w:numFmt w:val="bullet"/>
      <w:lvlText w:val=""/>
      <w:lvlJc w:val="left"/>
    </w:lvl>
  </w:abstractNum>
  <w:abstractNum w:abstractNumId="1" w15:restartNumberingAfterBreak="0">
    <w:nsid w:val="0369777A"/>
    <w:multiLevelType w:val="hybridMultilevel"/>
    <w:tmpl w:val="8CCC0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4863A0E"/>
    <w:multiLevelType w:val="hybridMultilevel"/>
    <w:tmpl w:val="73121C3E"/>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08D90CD0"/>
    <w:multiLevelType w:val="hybridMultilevel"/>
    <w:tmpl w:val="B7745CE6"/>
    <w:lvl w:ilvl="0" w:tplc="383CA80E">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DD674DF"/>
    <w:multiLevelType w:val="hybridMultilevel"/>
    <w:tmpl w:val="B324E5F4"/>
    <w:lvl w:ilvl="0" w:tplc="9056C4E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44C6A"/>
    <w:multiLevelType w:val="hybridMultilevel"/>
    <w:tmpl w:val="8EDABDE0"/>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695B"/>
    <w:multiLevelType w:val="hybridMultilevel"/>
    <w:tmpl w:val="42C4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1710C4"/>
    <w:multiLevelType w:val="hybridMultilevel"/>
    <w:tmpl w:val="B184B44A"/>
    <w:lvl w:ilvl="0" w:tplc="9056C4EE">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8" w15:restartNumberingAfterBreak="0">
    <w:nsid w:val="296B29B0"/>
    <w:multiLevelType w:val="hybridMultilevel"/>
    <w:tmpl w:val="D2E65262"/>
    <w:lvl w:ilvl="0" w:tplc="10D89038">
      <w:start w:val="1"/>
      <w:numFmt w:val="decimal"/>
      <w:lvlText w:val="%1."/>
      <w:lvlJc w:val="left"/>
      <w:pPr>
        <w:ind w:left="480" w:hanging="360"/>
      </w:pPr>
      <w:rPr>
        <w:rFonts w:asciiTheme="minorHAnsi" w:hAnsiTheme="minorHAnsi" w:cstheme="minorHAns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CB26A6C"/>
    <w:multiLevelType w:val="hybridMultilevel"/>
    <w:tmpl w:val="10E2325A"/>
    <w:lvl w:ilvl="0" w:tplc="9056C4EE">
      <w:start w:val="1"/>
      <w:numFmt w:val="bullet"/>
      <w:lvlText w:val=""/>
      <w:lvlJc w:val="left"/>
      <w:pPr>
        <w:ind w:left="1000" w:hanging="360"/>
      </w:pPr>
      <w:rPr>
        <w:rFonts w:ascii="Wingdings 2" w:hAnsi="Wingdings 2"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3A2F5DB3"/>
    <w:multiLevelType w:val="hybridMultilevel"/>
    <w:tmpl w:val="CC5453AA"/>
    <w:lvl w:ilvl="0" w:tplc="1E609EE8">
      <w:start w:val="1"/>
      <w:numFmt w:val="bullet"/>
      <w:lvlText w:val="-"/>
      <w:lvlJc w:val="left"/>
      <w:pPr>
        <w:tabs>
          <w:tab w:val="num" w:pos="720"/>
        </w:tabs>
        <w:ind w:left="720" w:hanging="360"/>
      </w:pPr>
      <w:rPr>
        <w:rFonts w:ascii="Arial" w:hAnsi="Arial" w:hint="default"/>
      </w:rPr>
    </w:lvl>
    <w:lvl w:ilvl="1" w:tplc="9A900250">
      <w:start w:val="1"/>
      <w:numFmt w:val="bullet"/>
      <w:lvlText w:val="-"/>
      <w:lvlJc w:val="left"/>
      <w:pPr>
        <w:tabs>
          <w:tab w:val="num" w:pos="1440"/>
        </w:tabs>
        <w:ind w:left="1440" w:hanging="360"/>
      </w:pPr>
      <w:rPr>
        <w:rFonts w:ascii="Arial" w:hAnsi="Arial" w:hint="default"/>
      </w:rPr>
    </w:lvl>
    <w:lvl w:ilvl="2" w:tplc="3460CC0C" w:tentative="1">
      <w:start w:val="1"/>
      <w:numFmt w:val="bullet"/>
      <w:lvlText w:val="-"/>
      <w:lvlJc w:val="left"/>
      <w:pPr>
        <w:tabs>
          <w:tab w:val="num" w:pos="2160"/>
        </w:tabs>
        <w:ind w:left="2160" w:hanging="360"/>
      </w:pPr>
      <w:rPr>
        <w:rFonts w:ascii="Arial" w:hAnsi="Arial" w:hint="default"/>
      </w:rPr>
    </w:lvl>
    <w:lvl w:ilvl="3" w:tplc="926E2F2A" w:tentative="1">
      <w:start w:val="1"/>
      <w:numFmt w:val="bullet"/>
      <w:lvlText w:val="-"/>
      <w:lvlJc w:val="left"/>
      <w:pPr>
        <w:tabs>
          <w:tab w:val="num" w:pos="2880"/>
        </w:tabs>
        <w:ind w:left="2880" w:hanging="360"/>
      </w:pPr>
      <w:rPr>
        <w:rFonts w:ascii="Arial" w:hAnsi="Arial" w:hint="default"/>
      </w:rPr>
    </w:lvl>
    <w:lvl w:ilvl="4" w:tplc="BD82B828" w:tentative="1">
      <w:start w:val="1"/>
      <w:numFmt w:val="bullet"/>
      <w:lvlText w:val="-"/>
      <w:lvlJc w:val="left"/>
      <w:pPr>
        <w:tabs>
          <w:tab w:val="num" w:pos="3600"/>
        </w:tabs>
        <w:ind w:left="3600" w:hanging="360"/>
      </w:pPr>
      <w:rPr>
        <w:rFonts w:ascii="Arial" w:hAnsi="Arial" w:hint="default"/>
      </w:rPr>
    </w:lvl>
    <w:lvl w:ilvl="5" w:tplc="7AB2991E" w:tentative="1">
      <w:start w:val="1"/>
      <w:numFmt w:val="bullet"/>
      <w:lvlText w:val="-"/>
      <w:lvlJc w:val="left"/>
      <w:pPr>
        <w:tabs>
          <w:tab w:val="num" w:pos="4320"/>
        </w:tabs>
        <w:ind w:left="4320" w:hanging="360"/>
      </w:pPr>
      <w:rPr>
        <w:rFonts w:ascii="Arial" w:hAnsi="Arial" w:hint="default"/>
      </w:rPr>
    </w:lvl>
    <w:lvl w:ilvl="6" w:tplc="99447250" w:tentative="1">
      <w:start w:val="1"/>
      <w:numFmt w:val="bullet"/>
      <w:lvlText w:val="-"/>
      <w:lvlJc w:val="left"/>
      <w:pPr>
        <w:tabs>
          <w:tab w:val="num" w:pos="5040"/>
        </w:tabs>
        <w:ind w:left="5040" w:hanging="360"/>
      </w:pPr>
      <w:rPr>
        <w:rFonts w:ascii="Arial" w:hAnsi="Arial" w:hint="default"/>
      </w:rPr>
    </w:lvl>
    <w:lvl w:ilvl="7" w:tplc="FCEEEFC8" w:tentative="1">
      <w:start w:val="1"/>
      <w:numFmt w:val="bullet"/>
      <w:lvlText w:val="-"/>
      <w:lvlJc w:val="left"/>
      <w:pPr>
        <w:tabs>
          <w:tab w:val="num" w:pos="5760"/>
        </w:tabs>
        <w:ind w:left="5760" w:hanging="360"/>
      </w:pPr>
      <w:rPr>
        <w:rFonts w:ascii="Arial" w:hAnsi="Arial" w:hint="default"/>
      </w:rPr>
    </w:lvl>
    <w:lvl w:ilvl="8" w:tplc="6DF4AB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9A7F40"/>
    <w:multiLevelType w:val="hybridMultilevel"/>
    <w:tmpl w:val="C0E80DBE"/>
    <w:lvl w:ilvl="0" w:tplc="9DBA764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44C446BE"/>
    <w:multiLevelType w:val="hybridMultilevel"/>
    <w:tmpl w:val="537C308E"/>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53D88"/>
    <w:multiLevelType w:val="hybridMultilevel"/>
    <w:tmpl w:val="5866D12A"/>
    <w:lvl w:ilvl="0" w:tplc="E3CCC7AE">
      <w:start w:val="1"/>
      <w:numFmt w:val="bullet"/>
      <w:lvlText w:val=""/>
      <w:lvlJc w:val="left"/>
      <w:pPr>
        <w:ind w:left="1000" w:hanging="360"/>
      </w:pPr>
      <w:rPr>
        <w:rFonts w:ascii="Wingdings 2" w:hAnsi="Wingdings 2" w:hint="default"/>
        <w:sz w:val="24"/>
        <w:szCs w:val="24"/>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15:restartNumberingAfterBreak="0">
    <w:nsid w:val="530C3C69"/>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869D1"/>
    <w:multiLevelType w:val="hybridMultilevel"/>
    <w:tmpl w:val="77402D30"/>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6" w15:restartNumberingAfterBreak="0">
    <w:nsid w:val="649A3B15"/>
    <w:multiLevelType w:val="hybridMultilevel"/>
    <w:tmpl w:val="CB64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F0269"/>
    <w:multiLevelType w:val="hybridMultilevel"/>
    <w:tmpl w:val="65E0D0AC"/>
    <w:lvl w:ilvl="0" w:tplc="07D00CDA">
      <w:start w:val="1"/>
      <w:numFmt w:val="bullet"/>
      <w:lvlText w:val="-"/>
      <w:lvlJc w:val="left"/>
      <w:pPr>
        <w:tabs>
          <w:tab w:val="num" w:pos="720"/>
        </w:tabs>
        <w:ind w:left="720" w:hanging="360"/>
      </w:pPr>
      <w:rPr>
        <w:rFonts w:ascii="Arial" w:hAnsi="Arial" w:hint="default"/>
      </w:rPr>
    </w:lvl>
    <w:lvl w:ilvl="1" w:tplc="5198C4E0" w:tentative="1">
      <w:start w:val="1"/>
      <w:numFmt w:val="bullet"/>
      <w:lvlText w:val="-"/>
      <w:lvlJc w:val="left"/>
      <w:pPr>
        <w:tabs>
          <w:tab w:val="num" w:pos="1440"/>
        </w:tabs>
        <w:ind w:left="1440" w:hanging="360"/>
      </w:pPr>
      <w:rPr>
        <w:rFonts w:ascii="Arial" w:hAnsi="Arial" w:hint="default"/>
      </w:rPr>
    </w:lvl>
    <w:lvl w:ilvl="2" w:tplc="7D1E48F2" w:tentative="1">
      <w:start w:val="1"/>
      <w:numFmt w:val="bullet"/>
      <w:lvlText w:val="-"/>
      <w:lvlJc w:val="left"/>
      <w:pPr>
        <w:tabs>
          <w:tab w:val="num" w:pos="2160"/>
        </w:tabs>
        <w:ind w:left="2160" w:hanging="360"/>
      </w:pPr>
      <w:rPr>
        <w:rFonts w:ascii="Arial" w:hAnsi="Arial" w:hint="default"/>
      </w:rPr>
    </w:lvl>
    <w:lvl w:ilvl="3" w:tplc="C6DEE474" w:tentative="1">
      <w:start w:val="1"/>
      <w:numFmt w:val="bullet"/>
      <w:lvlText w:val="-"/>
      <w:lvlJc w:val="left"/>
      <w:pPr>
        <w:tabs>
          <w:tab w:val="num" w:pos="2880"/>
        </w:tabs>
        <w:ind w:left="2880" w:hanging="360"/>
      </w:pPr>
      <w:rPr>
        <w:rFonts w:ascii="Arial" w:hAnsi="Arial" w:hint="default"/>
      </w:rPr>
    </w:lvl>
    <w:lvl w:ilvl="4" w:tplc="BD92F98E" w:tentative="1">
      <w:start w:val="1"/>
      <w:numFmt w:val="bullet"/>
      <w:lvlText w:val="-"/>
      <w:lvlJc w:val="left"/>
      <w:pPr>
        <w:tabs>
          <w:tab w:val="num" w:pos="3600"/>
        </w:tabs>
        <w:ind w:left="3600" w:hanging="360"/>
      </w:pPr>
      <w:rPr>
        <w:rFonts w:ascii="Arial" w:hAnsi="Arial" w:hint="default"/>
      </w:rPr>
    </w:lvl>
    <w:lvl w:ilvl="5" w:tplc="4F88A562" w:tentative="1">
      <w:start w:val="1"/>
      <w:numFmt w:val="bullet"/>
      <w:lvlText w:val="-"/>
      <w:lvlJc w:val="left"/>
      <w:pPr>
        <w:tabs>
          <w:tab w:val="num" w:pos="4320"/>
        </w:tabs>
        <w:ind w:left="4320" w:hanging="360"/>
      </w:pPr>
      <w:rPr>
        <w:rFonts w:ascii="Arial" w:hAnsi="Arial" w:hint="default"/>
      </w:rPr>
    </w:lvl>
    <w:lvl w:ilvl="6" w:tplc="4726F0B8" w:tentative="1">
      <w:start w:val="1"/>
      <w:numFmt w:val="bullet"/>
      <w:lvlText w:val="-"/>
      <w:lvlJc w:val="left"/>
      <w:pPr>
        <w:tabs>
          <w:tab w:val="num" w:pos="5040"/>
        </w:tabs>
        <w:ind w:left="5040" w:hanging="360"/>
      </w:pPr>
      <w:rPr>
        <w:rFonts w:ascii="Arial" w:hAnsi="Arial" w:hint="default"/>
      </w:rPr>
    </w:lvl>
    <w:lvl w:ilvl="7" w:tplc="4D14730C" w:tentative="1">
      <w:start w:val="1"/>
      <w:numFmt w:val="bullet"/>
      <w:lvlText w:val="-"/>
      <w:lvlJc w:val="left"/>
      <w:pPr>
        <w:tabs>
          <w:tab w:val="num" w:pos="5760"/>
        </w:tabs>
        <w:ind w:left="5760" w:hanging="360"/>
      </w:pPr>
      <w:rPr>
        <w:rFonts w:ascii="Arial" w:hAnsi="Arial" w:hint="default"/>
      </w:rPr>
    </w:lvl>
    <w:lvl w:ilvl="8" w:tplc="FF1A19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420B4C"/>
    <w:multiLevelType w:val="hybridMultilevel"/>
    <w:tmpl w:val="32369702"/>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15:restartNumberingAfterBreak="0">
    <w:nsid w:val="68ED2B08"/>
    <w:multiLevelType w:val="hybridMultilevel"/>
    <w:tmpl w:val="86D88E00"/>
    <w:lvl w:ilvl="0" w:tplc="1B4A3A04">
      <w:start w:val="1"/>
      <w:numFmt w:val="bullet"/>
      <w:lvlText w:val=""/>
      <w:lvlJc w:val="left"/>
      <w:pPr>
        <w:tabs>
          <w:tab w:val="num" w:pos="720"/>
        </w:tabs>
        <w:ind w:left="720" w:hanging="360"/>
      </w:pPr>
      <w:rPr>
        <w:rFonts w:ascii="Wingdings 2" w:hAnsi="Wingdings 2" w:hint="default"/>
        <w:sz w:val="24"/>
        <w:szCs w:val="24"/>
      </w:rPr>
    </w:lvl>
    <w:lvl w:ilvl="1" w:tplc="6A129AC2" w:tentative="1">
      <w:start w:val="1"/>
      <w:numFmt w:val="bullet"/>
      <w:lvlText w:val="-"/>
      <w:lvlJc w:val="left"/>
      <w:pPr>
        <w:tabs>
          <w:tab w:val="num" w:pos="1440"/>
        </w:tabs>
        <w:ind w:left="1440" w:hanging="360"/>
      </w:pPr>
      <w:rPr>
        <w:rFonts w:ascii="Arial" w:hAnsi="Arial" w:hint="default"/>
      </w:rPr>
    </w:lvl>
    <w:lvl w:ilvl="2" w:tplc="B1AE1528" w:tentative="1">
      <w:start w:val="1"/>
      <w:numFmt w:val="bullet"/>
      <w:lvlText w:val="-"/>
      <w:lvlJc w:val="left"/>
      <w:pPr>
        <w:tabs>
          <w:tab w:val="num" w:pos="2160"/>
        </w:tabs>
        <w:ind w:left="2160" w:hanging="360"/>
      </w:pPr>
      <w:rPr>
        <w:rFonts w:ascii="Arial" w:hAnsi="Arial" w:hint="default"/>
      </w:rPr>
    </w:lvl>
    <w:lvl w:ilvl="3" w:tplc="E5CC8838" w:tentative="1">
      <w:start w:val="1"/>
      <w:numFmt w:val="bullet"/>
      <w:lvlText w:val="-"/>
      <w:lvlJc w:val="left"/>
      <w:pPr>
        <w:tabs>
          <w:tab w:val="num" w:pos="2880"/>
        </w:tabs>
        <w:ind w:left="2880" w:hanging="360"/>
      </w:pPr>
      <w:rPr>
        <w:rFonts w:ascii="Arial" w:hAnsi="Arial" w:hint="default"/>
      </w:rPr>
    </w:lvl>
    <w:lvl w:ilvl="4" w:tplc="670EEA94" w:tentative="1">
      <w:start w:val="1"/>
      <w:numFmt w:val="bullet"/>
      <w:lvlText w:val="-"/>
      <w:lvlJc w:val="left"/>
      <w:pPr>
        <w:tabs>
          <w:tab w:val="num" w:pos="3600"/>
        </w:tabs>
        <w:ind w:left="3600" w:hanging="360"/>
      </w:pPr>
      <w:rPr>
        <w:rFonts w:ascii="Arial" w:hAnsi="Arial" w:hint="default"/>
      </w:rPr>
    </w:lvl>
    <w:lvl w:ilvl="5" w:tplc="E4F29FA6" w:tentative="1">
      <w:start w:val="1"/>
      <w:numFmt w:val="bullet"/>
      <w:lvlText w:val="-"/>
      <w:lvlJc w:val="left"/>
      <w:pPr>
        <w:tabs>
          <w:tab w:val="num" w:pos="4320"/>
        </w:tabs>
        <w:ind w:left="4320" w:hanging="360"/>
      </w:pPr>
      <w:rPr>
        <w:rFonts w:ascii="Arial" w:hAnsi="Arial" w:hint="default"/>
      </w:rPr>
    </w:lvl>
    <w:lvl w:ilvl="6" w:tplc="251E5E60" w:tentative="1">
      <w:start w:val="1"/>
      <w:numFmt w:val="bullet"/>
      <w:lvlText w:val="-"/>
      <w:lvlJc w:val="left"/>
      <w:pPr>
        <w:tabs>
          <w:tab w:val="num" w:pos="5040"/>
        </w:tabs>
        <w:ind w:left="5040" w:hanging="360"/>
      </w:pPr>
      <w:rPr>
        <w:rFonts w:ascii="Arial" w:hAnsi="Arial" w:hint="default"/>
      </w:rPr>
    </w:lvl>
    <w:lvl w:ilvl="7" w:tplc="09B27660" w:tentative="1">
      <w:start w:val="1"/>
      <w:numFmt w:val="bullet"/>
      <w:lvlText w:val="-"/>
      <w:lvlJc w:val="left"/>
      <w:pPr>
        <w:tabs>
          <w:tab w:val="num" w:pos="5760"/>
        </w:tabs>
        <w:ind w:left="5760" w:hanging="360"/>
      </w:pPr>
      <w:rPr>
        <w:rFonts w:ascii="Arial" w:hAnsi="Arial" w:hint="default"/>
      </w:rPr>
    </w:lvl>
    <w:lvl w:ilvl="8" w:tplc="E44E45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A62228"/>
    <w:multiLevelType w:val="hybridMultilevel"/>
    <w:tmpl w:val="1E40E9E8"/>
    <w:lvl w:ilvl="0" w:tplc="60505D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41234"/>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19"/>
  </w:num>
  <w:num w:numId="5">
    <w:abstractNumId w:val="18"/>
  </w:num>
  <w:num w:numId="6">
    <w:abstractNumId w:val="7"/>
  </w:num>
  <w:num w:numId="7">
    <w:abstractNumId w:val="9"/>
  </w:num>
  <w:num w:numId="8">
    <w:abstractNumId w:val="8"/>
  </w:num>
  <w:num w:numId="9">
    <w:abstractNumId w:val="15"/>
  </w:num>
  <w:num w:numId="10">
    <w:abstractNumId w:val="2"/>
  </w:num>
  <w:num w:numId="11">
    <w:abstractNumId w:val="16"/>
  </w:num>
  <w:num w:numId="12">
    <w:abstractNumId w:val="20"/>
  </w:num>
  <w:num w:numId="13">
    <w:abstractNumId w:val="11"/>
  </w:num>
  <w:num w:numId="14">
    <w:abstractNumId w:val="6"/>
  </w:num>
  <w:num w:numId="15">
    <w:abstractNumId w:val="10"/>
  </w:num>
  <w:num w:numId="16">
    <w:abstractNumId w:val="17"/>
  </w:num>
  <w:num w:numId="17">
    <w:abstractNumId w:val="4"/>
  </w:num>
  <w:num w:numId="18">
    <w:abstractNumId w:val="1"/>
  </w:num>
  <w:num w:numId="19">
    <w:abstractNumId w:val="3"/>
  </w:num>
  <w:num w:numId="20">
    <w:abstractNumId w:val="5"/>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FA"/>
    <w:rsid w:val="000028C5"/>
    <w:rsid w:val="000048AB"/>
    <w:rsid w:val="00007175"/>
    <w:rsid w:val="000149B1"/>
    <w:rsid w:val="00015597"/>
    <w:rsid w:val="00015EFE"/>
    <w:rsid w:val="00016548"/>
    <w:rsid w:val="000211D5"/>
    <w:rsid w:val="00031F7B"/>
    <w:rsid w:val="0003253D"/>
    <w:rsid w:val="000474B3"/>
    <w:rsid w:val="000539B7"/>
    <w:rsid w:val="00054B3A"/>
    <w:rsid w:val="00057263"/>
    <w:rsid w:val="000625BC"/>
    <w:rsid w:val="00065515"/>
    <w:rsid w:val="0006795D"/>
    <w:rsid w:val="00070094"/>
    <w:rsid w:val="00071DC4"/>
    <w:rsid w:val="000841F7"/>
    <w:rsid w:val="0008736A"/>
    <w:rsid w:val="0008736B"/>
    <w:rsid w:val="0008793C"/>
    <w:rsid w:val="00087F23"/>
    <w:rsid w:val="000904BD"/>
    <w:rsid w:val="000912E2"/>
    <w:rsid w:val="00093B9E"/>
    <w:rsid w:val="000A277B"/>
    <w:rsid w:val="000A4B0E"/>
    <w:rsid w:val="000A63CA"/>
    <w:rsid w:val="000B13DC"/>
    <w:rsid w:val="000BF0A5"/>
    <w:rsid w:val="000C0C20"/>
    <w:rsid w:val="000C461D"/>
    <w:rsid w:val="000C64B3"/>
    <w:rsid w:val="000E14F7"/>
    <w:rsid w:val="000E2421"/>
    <w:rsid w:val="000E24DF"/>
    <w:rsid w:val="000E2B48"/>
    <w:rsid w:val="000E7613"/>
    <w:rsid w:val="000F1D89"/>
    <w:rsid w:val="000F3D92"/>
    <w:rsid w:val="000F6BD8"/>
    <w:rsid w:val="000F7AB6"/>
    <w:rsid w:val="001217A5"/>
    <w:rsid w:val="001219F2"/>
    <w:rsid w:val="001371E9"/>
    <w:rsid w:val="00140410"/>
    <w:rsid w:val="0014135A"/>
    <w:rsid w:val="00146376"/>
    <w:rsid w:val="00157386"/>
    <w:rsid w:val="00163A87"/>
    <w:rsid w:val="00163EF5"/>
    <w:rsid w:val="00171BDF"/>
    <w:rsid w:val="00175A28"/>
    <w:rsid w:val="00185BE0"/>
    <w:rsid w:val="00187215"/>
    <w:rsid w:val="00191526"/>
    <w:rsid w:val="0019722B"/>
    <w:rsid w:val="001A1110"/>
    <w:rsid w:val="001A2D21"/>
    <w:rsid w:val="001A6112"/>
    <w:rsid w:val="001B0C24"/>
    <w:rsid w:val="001B51A4"/>
    <w:rsid w:val="001B6317"/>
    <w:rsid w:val="001E186F"/>
    <w:rsid w:val="001E2DD6"/>
    <w:rsid w:val="001F0D2E"/>
    <w:rsid w:val="001F41E0"/>
    <w:rsid w:val="001F5821"/>
    <w:rsid w:val="00202242"/>
    <w:rsid w:val="00202A34"/>
    <w:rsid w:val="00204D36"/>
    <w:rsid w:val="00206A96"/>
    <w:rsid w:val="00207EE8"/>
    <w:rsid w:val="00211E59"/>
    <w:rsid w:val="00213291"/>
    <w:rsid w:val="00221D2D"/>
    <w:rsid w:val="002307B5"/>
    <w:rsid w:val="00231D48"/>
    <w:rsid w:val="002329B7"/>
    <w:rsid w:val="0025028A"/>
    <w:rsid w:val="00254045"/>
    <w:rsid w:val="00257611"/>
    <w:rsid w:val="00260E9C"/>
    <w:rsid w:val="00262D2C"/>
    <w:rsid w:val="00264A2C"/>
    <w:rsid w:val="00266A77"/>
    <w:rsid w:val="00270C4E"/>
    <w:rsid w:val="00274F6A"/>
    <w:rsid w:val="0027540B"/>
    <w:rsid w:val="002908B5"/>
    <w:rsid w:val="002933DF"/>
    <w:rsid w:val="002A03C4"/>
    <w:rsid w:val="002A35B4"/>
    <w:rsid w:val="002A59C7"/>
    <w:rsid w:val="002A7E5E"/>
    <w:rsid w:val="002B6716"/>
    <w:rsid w:val="002C0B70"/>
    <w:rsid w:val="002C0E75"/>
    <w:rsid w:val="002C1CD1"/>
    <w:rsid w:val="002C54B4"/>
    <w:rsid w:val="002C60EF"/>
    <w:rsid w:val="002D21FA"/>
    <w:rsid w:val="002D7C80"/>
    <w:rsid w:val="002D7C86"/>
    <w:rsid w:val="002E1712"/>
    <w:rsid w:val="002E28FF"/>
    <w:rsid w:val="002F0697"/>
    <w:rsid w:val="002F0DA2"/>
    <w:rsid w:val="002F24B1"/>
    <w:rsid w:val="002F39F6"/>
    <w:rsid w:val="00306C63"/>
    <w:rsid w:val="00312760"/>
    <w:rsid w:val="00313602"/>
    <w:rsid w:val="00313710"/>
    <w:rsid w:val="00313EAB"/>
    <w:rsid w:val="0032005A"/>
    <w:rsid w:val="00320307"/>
    <w:rsid w:val="003217F7"/>
    <w:rsid w:val="0032312B"/>
    <w:rsid w:val="0033263E"/>
    <w:rsid w:val="003339EE"/>
    <w:rsid w:val="00334EF9"/>
    <w:rsid w:val="00337506"/>
    <w:rsid w:val="00345E80"/>
    <w:rsid w:val="00346A92"/>
    <w:rsid w:val="00360E14"/>
    <w:rsid w:val="00361274"/>
    <w:rsid w:val="00361F90"/>
    <w:rsid w:val="00367A84"/>
    <w:rsid w:val="00372EE6"/>
    <w:rsid w:val="00376EA6"/>
    <w:rsid w:val="003851B1"/>
    <w:rsid w:val="00392017"/>
    <w:rsid w:val="003925FA"/>
    <w:rsid w:val="00394CF2"/>
    <w:rsid w:val="003953F0"/>
    <w:rsid w:val="00395602"/>
    <w:rsid w:val="00397388"/>
    <w:rsid w:val="003A4E55"/>
    <w:rsid w:val="003B5760"/>
    <w:rsid w:val="003C6DC4"/>
    <w:rsid w:val="003D6194"/>
    <w:rsid w:val="003D69B5"/>
    <w:rsid w:val="003E3A29"/>
    <w:rsid w:val="003E5368"/>
    <w:rsid w:val="003F56CC"/>
    <w:rsid w:val="003F5ADC"/>
    <w:rsid w:val="003F5EBD"/>
    <w:rsid w:val="003F6A71"/>
    <w:rsid w:val="003F7E71"/>
    <w:rsid w:val="00423D15"/>
    <w:rsid w:val="0042503F"/>
    <w:rsid w:val="00451AA9"/>
    <w:rsid w:val="00451D89"/>
    <w:rsid w:val="004528B2"/>
    <w:rsid w:val="0045404A"/>
    <w:rsid w:val="0046048B"/>
    <w:rsid w:val="00463921"/>
    <w:rsid w:val="00472E55"/>
    <w:rsid w:val="00473C1D"/>
    <w:rsid w:val="00483FAE"/>
    <w:rsid w:val="00486695"/>
    <w:rsid w:val="00492448"/>
    <w:rsid w:val="00497B97"/>
    <w:rsid w:val="004B4407"/>
    <w:rsid w:val="004C1934"/>
    <w:rsid w:val="004C553C"/>
    <w:rsid w:val="004C581F"/>
    <w:rsid w:val="004D4946"/>
    <w:rsid w:val="004E17B8"/>
    <w:rsid w:val="004E6321"/>
    <w:rsid w:val="004F03E8"/>
    <w:rsid w:val="004F0D11"/>
    <w:rsid w:val="005005C2"/>
    <w:rsid w:val="00506590"/>
    <w:rsid w:val="00507062"/>
    <w:rsid w:val="005078D2"/>
    <w:rsid w:val="00516FF2"/>
    <w:rsid w:val="00517370"/>
    <w:rsid w:val="0053224B"/>
    <w:rsid w:val="00533E90"/>
    <w:rsid w:val="0053455E"/>
    <w:rsid w:val="005372B8"/>
    <w:rsid w:val="00545D10"/>
    <w:rsid w:val="00550CF3"/>
    <w:rsid w:val="0055286A"/>
    <w:rsid w:val="00554484"/>
    <w:rsid w:val="00556622"/>
    <w:rsid w:val="00557666"/>
    <w:rsid w:val="005608B1"/>
    <w:rsid w:val="00560916"/>
    <w:rsid w:val="00565A8C"/>
    <w:rsid w:val="005719E5"/>
    <w:rsid w:val="0057269D"/>
    <w:rsid w:val="005741B1"/>
    <w:rsid w:val="0057536C"/>
    <w:rsid w:val="005845F2"/>
    <w:rsid w:val="00585159"/>
    <w:rsid w:val="00587401"/>
    <w:rsid w:val="005A1330"/>
    <w:rsid w:val="005A25F7"/>
    <w:rsid w:val="005A5C38"/>
    <w:rsid w:val="005B6097"/>
    <w:rsid w:val="005C31C0"/>
    <w:rsid w:val="005D0067"/>
    <w:rsid w:val="005D7375"/>
    <w:rsid w:val="005E3224"/>
    <w:rsid w:val="005E33C2"/>
    <w:rsid w:val="005E3D99"/>
    <w:rsid w:val="005E7467"/>
    <w:rsid w:val="005F1179"/>
    <w:rsid w:val="005F27CC"/>
    <w:rsid w:val="005F53E5"/>
    <w:rsid w:val="00600C54"/>
    <w:rsid w:val="00613562"/>
    <w:rsid w:val="00620927"/>
    <w:rsid w:val="00621D21"/>
    <w:rsid w:val="00626606"/>
    <w:rsid w:val="00646D20"/>
    <w:rsid w:val="0064768C"/>
    <w:rsid w:val="006478FA"/>
    <w:rsid w:val="0065205B"/>
    <w:rsid w:val="00654FF3"/>
    <w:rsid w:val="006562C2"/>
    <w:rsid w:val="0065681F"/>
    <w:rsid w:val="0067158B"/>
    <w:rsid w:val="006824A9"/>
    <w:rsid w:val="006868D0"/>
    <w:rsid w:val="00693BDD"/>
    <w:rsid w:val="00695115"/>
    <w:rsid w:val="00697766"/>
    <w:rsid w:val="006A2548"/>
    <w:rsid w:val="006B6F12"/>
    <w:rsid w:val="006C1458"/>
    <w:rsid w:val="006D41CA"/>
    <w:rsid w:val="006D583D"/>
    <w:rsid w:val="006E30E4"/>
    <w:rsid w:val="006E333C"/>
    <w:rsid w:val="006E72B3"/>
    <w:rsid w:val="006F0F59"/>
    <w:rsid w:val="006F3208"/>
    <w:rsid w:val="007024BD"/>
    <w:rsid w:val="007175C6"/>
    <w:rsid w:val="00724088"/>
    <w:rsid w:val="00725755"/>
    <w:rsid w:val="00730EAC"/>
    <w:rsid w:val="00732ABA"/>
    <w:rsid w:val="007361DB"/>
    <w:rsid w:val="00751A74"/>
    <w:rsid w:val="00761D19"/>
    <w:rsid w:val="00762F97"/>
    <w:rsid w:val="0076588B"/>
    <w:rsid w:val="00771ACC"/>
    <w:rsid w:val="007808B4"/>
    <w:rsid w:val="0078385A"/>
    <w:rsid w:val="007838AB"/>
    <w:rsid w:val="00783EA8"/>
    <w:rsid w:val="00791577"/>
    <w:rsid w:val="00793485"/>
    <w:rsid w:val="007A28A0"/>
    <w:rsid w:val="007A5032"/>
    <w:rsid w:val="007B1119"/>
    <w:rsid w:val="007B385A"/>
    <w:rsid w:val="007B46E7"/>
    <w:rsid w:val="007C38B3"/>
    <w:rsid w:val="007C4DF2"/>
    <w:rsid w:val="007C65B5"/>
    <w:rsid w:val="007C7B31"/>
    <w:rsid w:val="007D6008"/>
    <w:rsid w:val="007D6B67"/>
    <w:rsid w:val="007D7048"/>
    <w:rsid w:val="007E2A42"/>
    <w:rsid w:val="007E2DCB"/>
    <w:rsid w:val="007E5FE2"/>
    <w:rsid w:val="007F735F"/>
    <w:rsid w:val="00801E18"/>
    <w:rsid w:val="008030DE"/>
    <w:rsid w:val="00806FAA"/>
    <w:rsid w:val="00812A08"/>
    <w:rsid w:val="00815648"/>
    <w:rsid w:val="00822D10"/>
    <w:rsid w:val="00824443"/>
    <w:rsid w:val="00830BFF"/>
    <w:rsid w:val="008341E6"/>
    <w:rsid w:val="00840ED5"/>
    <w:rsid w:val="0085040E"/>
    <w:rsid w:val="00851124"/>
    <w:rsid w:val="00851699"/>
    <w:rsid w:val="008563A5"/>
    <w:rsid w:val="00857896"/>
    <w:rsid w:val="00860CF6"/>
    <w:rsid w:val="00870AB0"/>
    <w:rsid w:val="00871B3B"/>
    <w:rsid w:val="00876C1B"/>
    <w:rsid w:val="008A0310"/>
    <w:rsid w:val="008A202F"/>
    <w:rsid w:val="008A38A7"/>
    <w:rsid w:val="008A58E1"/>
    <w:rsid w:val="008A6B7B"/>
    <w:rsid w:val="008B212D"/>
    <w:rsid w:val="008B369D"/>
    <w:rsid w:val="008B4239"/>
    <w:rsid w:val="008B5E22"/>
    <w:rsid w:val="008C35B1"/>
    <w:rsid w:val="008E0FFA"/>
    <w:rsid w:val="008F47B0"/>
    <w:rsid w:val="008F65A9"/>
    <w:rsid w:val="00901441"/>
    <w:rsid w:val="0090403F"/>
    <w:rsid w:val="00905A59"/>
    <w:rsid w:val="00907571"/>
    <w:rsid w:val="009130EB"/>
    <w:rsid w:val="00923E8C"/>
    <w:rsid w:val="00927668"/>
    <w:rsid w:val="00932F06"/>
    <w:rsid w:val="00935DB3"/>
    <w:rsid w:val="009434D1"/>
    <w:rsid w:val="009454F8"/>
    <w:rsid w:val="00946383"/>
    <w:rsid w:val="00976914"/>
    <w:rsid w:val="00985EE1"/>
    <w:rsid w:val="00986580"/>
    <w:rsid w:val="00993099"/>
    <w:rsid w:val="00993ACE"/>
    <w:rsid w:val="009A05E1"/>
    <w:rsid w:val="009A10A3"/>
    <w:rsid w:val="009A28CD"/>
    <w:rsid w:val="009A4307"/>
    <w:rsid w:val="009C2E6A"/>
    <w:rsid w:val="009C49FB"/>
    <w:rsid w:val="009C5EB0"/>
    <w:rsid w:val="009C7A95"/>
    <w:rsid w:val="009D0745"/>
    <w:rsid w:val="009D69A3"/>
    <w:rsid w:val="009E171E"/>
    <w:rsid w:val="009F3258"/>
    <w:rsid w:val="009F5477"/>
    <w:rsid w:val="00A070A3"/>
    <w:rsid w:val="00A10775"/>
    <w:rsid w:val="00A174AE"/>
    <w:rsid w:val="00A2287E"/>
    <w:rsid w:val="00A23BE2"/>
    <w:rsid w:val="00A244C6"/>
    <w:rsid w:val="00A275EC"/>
    <w:rsid w:val="00A27E71"/>
    <w:rsid w:val="00A3047A"/>
    <w:rsid w:val="00A30F6E"/>
    <w:rsid w:val="00A34A52"/>
    <w:rsid w:val="00A36182"/>
    <w:rsid w:val="00A369B7"/>
    <w:rsid w:val="00A36C53"/>
    <w:rsid w:val="00A41045"/>
    <w:rsid w:val="00A410A9"/>
    <w:rsid w:val="00A417D1"/>
    <w:rsid w:val="00A541BF"/>
    <w:rsid w:val="00A543DE"/>
    <w:rsid w:val="00A54B5E"/>
    <w:rsid w:val="00A60782"/>
    <w:rsid w:val="00A60D0F"/>
    <w:rsid w:val="00A61582"/>
    <w:rsid w:val="00A64F40"/>
    <w:rsid w:val="00A70135"/>
    <w:rsid w:val="00A76D46"/>
    <w:rsid w:val="00A802AE"/>
    <w:rsid w:val="00A83F52"/>
    <w:rsid w:val="00A84952"/>
    <w:rsid w:val="00A87BF2"/>
    <w:rsid w:val="00A921A5"/>
    <w:rsid w:val="00A922BF"/>
    <w:rsid w:val="00A929D5"/>
    <w:rsid w:val="00A961AD"/>
    <w:rsid w:val="00A979AF"/>
    <w:rsid w:val="00A97A4D"/>
    <w:rsid w:val="00AA59E5"/>
    <w:rsid w:val="00AB3328"/>
    <w:rsid w:val="00AB351D"/>
    <w:rsid w:val="00AD3416"/>
    <w:rsid w:val="00AD3FB3"/>
    <w:rsid w:val="00AE0FF3"/>
    <w:rsid w:val="00AE51DE"/>
    <w:rsid w:val="00AE57FC"/>
    <w:rsid w:val="00AE681B"/>
    <w:rsid w:val="00AF7206"/>
    <w:rsid w:val="00B048C4"/>
    <w:rsid w:val="00B05DAE"/>
    <w:rsid w:val="00B16FE9"/>
    <w:rsid w:val="00B23ABC"/>
    <w:rsid w:val="00B23DFA"/>
    <w:rsid w:val="00B24929"/>
    <w:rsid w:val="00B24984"/>
    <w:rsid w:val="00B29ABB"/>
    <w:rsid w:val="00B37E5C"/>
    <w:rsid w:val="00B55F69"/>
    <w:rsid w:val="00B560C9"/>
    <w:rsid w:val="00B61B40"/>
    <w:rsid w:val="00B654DD"/>
    <w:rsid w:val="00B6617C"/>
    <w:rsid w:val="00B66589"/>
    <w:rsid w:val="00B7063B"/>
    <w:rsid w:val="00B757A6"/>
    <w:rsid w:val="00BA19DB"/>
    <w:rsid w:val="00BA3B92"/>
    <w:rsid w:val="00BA6192"/>
    <w:rsid w:val="00BA75B3"/>
    <w:rsid w:val="00BB0A37"/>
    <w:rsid w:val="00BB6C28"/>
    <w:rsid w:val="00BB7283"/>
    <w:rsid w:val="00BB77F3"/>
    <w:rsid w:val="00BB7BBD"/>
    <w:rsid w:val="00BC3B3C"/>
    <w:rsid w:val="00BC7A27"/>
    <w:rsid w:val="00BD6A63"/>
    <w:rsid w:val="00BE0850"/>
    <w:rsid w:val="00BE2916"/>
    <w:rsid w:val="00BE3F54"/>
    <w:rsid w:val="00C04385"/>
    <w:rsid w:val="00C055AE"/>
    <w:rsid w:val="00C12FB7"/>
    <w:rsid w:val="00C16B25"/>
    <w:rsid w:val="00C22081"/>
    <w:rsid w:val="00C26AF2"/>
    <w:rsid w:val="00C32CB7"/>
    <w:rsid w:val="00C333AC"/>
    <w:rsid w:val="00C40097"/>
    <w:rsid w:val="00C4339F"/>
    <w:rsid w:val="00C434C4"/>
    <w:rsid w:val="00C45D5C"/>
    <w:rsid w:val="00C46670"/>
    <w:rsid w:val="00C530E0"/>
    <w:rsid w:val="00C5336B"/>
    <w:rsid w:val="00C5364D"/>
    <w:rsid w:val="00C57975"/>
    <w:rsid w:val="00C6039C"/>
    <w:rsid w:val="00C67819"/>
    <w:rsid w:val="00C82F5B"/>
    <w:rsid w:val="00C8478D"/>
    <w:rsid w:val="00C919BC"/>
    <w:rsid w:val="00C96CD8"/>
    <w:rsid w:val="00CA556C"/>
    <w:rsid w:val="00CA6C5C"/>
    <w:rsid w:val="00CC54B1"/>
    <w:rsid w:val="00CC685D"/>
    <w:rsid w:val="00CD47AE"/>
    <w:rsid w:val="00CD4F34"/>
    <w:rsid w:val="00CD56F4"/>
    <w:rsid w:val="00CD6AB4"/>
    <w:rsid w:val="00CD73AF"/>
    <w:rsid w:val="00CE1F2E"/>
    <w:rsid w:val="00CE3370"/>
    <w:rsid w:val="00CE3DEB"/>
    <w:rsid w:val="00CE4871"/>
    <w:rsid w:val="00CF1F7E"/>
    <w:rsid w:val="00CF5F35"/>
    <w:rsid w:val="00D046F8"/>
    <w:rsid w:val="00D07512"/>
    <w:rsid w:val="00D20484"/>
    <w:rsid w:val="00D230B9"/>
    <w:rsid w:val="00D315A2"/>
    <w:rsid w:val="00D3788C"/>
    <w:rsid w:val="00D403C2"/>
    <w:rsid w:val="00D44AD0"/>
    <w:rsid w:val="00D459E8"/>
    <w:rsid w:val="00D46BBB"/>
    <w:rsid w:val="00D51264"/>
    <w:rsid w:val="00D5165A"/>
    <w:rsid w:val="00D51C95"/>
    <w:rsid w:val="00D5697A"/>
    <w:rsid w:val="00D6003D"/>
    <w:rsid w:val="00D71077"/>
    <w:rsid w:val="00D74038"/>
    <w:rsid w:val="00D87549"/>
    <w:rsid w:val="00D90305"/>
    <w:rsid w:val="00D90DE3"/>
    <w:rsid w:val="00D90FCE"/>
    <w:rsid w:val="00D91952"/>
    <w:rsid w:val="00D924E0"/>
    <w:rsid w:val="00DA0BC3"/>
    <w:rsid w:val="00DB543A"/>
    <w:rsid w:val="00DC288D"/>
    <w:rsid w:val="00DD117F"/>
    <w:rsid w:val="00DD23A8"/>
    <w:rsid w:val="00DD3DC1"/>
    <w:rsid w:val="00DD575F"/>
    <w:rsid w:val="00DE0957"/>
    <w:rsid w:val="00DE35AB"/>
    <w:rsid w:val="00DE35C8"/>
    <w:rsid w:val="00DE6B66"/>
    <w:rsid w:val="00DF30B9"/>
    <w:rsid w:val="00DF6406"/>
    <w:rsid w:val="00E00430"/>
    <w:rsid w:val="00E05652"/>
    <w:rsid w:val="00E10822"/>
    <w:rsid w:val="00E10837"/>
    <w:rsid w:val="00E1135C"/>
    <w:rsid w:val="00E15483"/>
    <w:rsid w:val="00E20708"/>
    <w:rsid w:val="00E21F83"/>
    <w:rsid w:val="00E31411"/>
    <w:rsid w:val="00E316E5"/>
    <w:rsid w:val="00E33A4B"/>
    <w:rsid w:val="00E4220A"/>
    <w:rsid w:val="00E4500B"/>
    <w:rsid w:val="00E5622A"/>
    <w:rsid w:val="00E625CD"/>
    <w:rsid w:val="00E6575F"/>
    <w:rsid w:val="00E72435"/>
    <w:rsid w:val="00E74A37"/>
    <w:rsid w:val="00E7681B"/>
    <w:rsid w:val="00E82B52"/>
    <w:rsid w:val="00E84533"/>
    <w:rsid w:val="00E86649"/>
    <w:rsid w:val="00E959F8"/>
    <w:rsid w:val="00EA2401"/>
    <w:rsid w:val="00EA2503"/>
    <w:rsid w:val="00EA4A47"/>
    <w:rsid w:val="00EA5EC3"/>
    <w:rsid w:val="00EB104D"/>
    <w:rsid w:val="00EB642C"/>
    <w:rsid w:val="00ED6C1B"/>
    <w:rsid w:val="00ED6D02"/>
    <w:rsid w:val="00ED6F4E"/>
    <w:rsid w:val="00EE5FA2"/>
    <w:rsid w:val="00EE6321"/>
    <w:rsid w:val="00EE7A4B"/>
    <w:rsid w:val="00F01C74"/>
    <w:rsid w:val="00F02793"/>
    <w:rsid w:val="00F044A6"/>
    <w:rsid w:val="00F055B4"/>
    <w:rsid w:val="00F13F57"/>
    <w:rsid w:val="00F141E3"/>
    <w:rsid w:val="00F16151"/>
    <w:rsid w:val="00F211B7"/>
    <w:rsid w:val="00F22A47"/>
    <w:rsid w:val="00F23402"/>
    <w:rsid w:val="00F352E1"/>
    <w:rsid w:val="00F37925"/>
    <w:rsid w:val="00F5052E"/>
    <w:rsid w:val="00F5417C"/>
    <w:rsid w:val="00F56A3B"/>
    <w:rsid w:val="00F61B61"/>
    <w:rsid w:val="00F85878"/>
    <w:rsid w:val="00F86EFD"/>
    <w:rsid w:val="00F878D0"/>
    <w:rsid w:val="00F955AE"/>
    <w:rsid w:val="00F974DA"/>
    <w:rsid w:val="00FA2273"/>
    <w:rsid w:val="00FA2390"/>
    <w:rsid w:val="00FA450F"/>
    <w:rsid w:val="00FD12B5"/>
    <w:rsid w:val="00FD19B8"/>
    <w:rsid w:val="00FD4C07"/>
    <w:rsid w:val="00FD5076"/>
    <w:rsid w:val="00FD6877"/>
    <w:rsid w:val="00FE5AB9"/>
    <w:rsid w:val="00FE61D1"/>
    <w:rsid w:val="00FF260E"/>
    <w:rsid w:val="0157ABB0"/>
    <w:rsid w:val="01921F8B"/>
    <w:rsid w:val="01BB1ABF"/>
    <w:rsid w:val="01FE2A83"/>
    <w:rsid w:val="024FB297"/>
    <w:rsid w:val="02609728"/>
    <w:rsid w:val="0274E83B"/>
    <w:rsid w:val="02EFF373"/>
    <w:rsid w:val="0389DC50"/>
    <w:rsid w:val="03F38D94"/>
    <w:rsid w:val="04257BBD"/>
    <w:rsid w:val="04973A62"/>
    <w:rsid w:val="056EC531"/>
    <w:rsid w:val="0619828B"/>
    <w:rsid w:val="062D3875"/>
    <w:rsid w:val="06467199"/>
    <w:rsid w:val="0697648D"/>
    <w:rsid w:val="06AF6FCB"/>
    <w:rsid w:val="0770CBBF"/>
    <w:rsid w:val="07BFF8E3"/>
    <w:rsid w:val="0823CE23"/>
    <w:rsid w:val="085D57E1"/>
    <w:rsid w:val="08E870D5"/>
    <w:rsid w:val="09AD9EE9"/>
    <w:rsid w:val="09DDBE14"/>
    <w:rsid w:val="09E0809D"/>
    <w:rsid w:val="09F67852"/>
    <w:rsid w:val="0A05ED5D"/>
    <w:rsid w:val="0A255158"/>
    <w:rsid w:val="0A6169B9"/>
    <w:rsid w:val="0A8437EB"/>
    <w:rsid w:val="0A978508"/>
    <w:rsid w:val="0AA6ABC1"/>
    <w:rsid w:val="0AFCC47C"/>
    <w:rsid w:val="0B496F4A"/>
    <w:rsid w:val="0B58A1C6"/>
    <w:rsid w:val="0BAE2100"/>
    <w:rsid w:val="0BC121B9"/>
    <w:rsid w:val="0BF3706C"/>
    <w:rsid w:val="0C115D2B"/>
    <w:rsid w:val="0CB767C3"/>
    <w:rsid w:val="0D0C1196"/>
    <w:rsid w:val="0D3D8E1F"/>
    <w:rsid w:val="0D50D5A3"/>
    <w:rsid w:val="0D5AF63A"/>
    <w:rsid w:val="0DE24B65"/>
    <w:rsid w:val="0E12FC80"/>
    <w:rsid w:val="0EF5455B"/>
    <w:rsid w:val="0F72A7AA"/>
    <w:rsid w:val="0FDB024B"/>
    <w:rsid w:val="0FF9C32A"/>
    <w:rsid w:val="10158DCD"/>
    <w:rsid w:val="1022146F"/>
    <w:rsid w:val="107E92CF"/>
    <w:rsid w:val="10819223"/>
    <w:rsid w:val="10CD07B2"/>
    <w:rsid w:val="114927A0"/>
    <w:rsid w:val="123D0D9B"/>
    <w:rsid w:val="125A2CF2"/>
    <w:rsid w:val="12F23121"/>
    <w:rsid w:val="13A00A88"/>
    <w:rsid w:val="153BDAE9"/>
    <w:rsid w:val="15507607"/>
    <w:rsid w:val="158EBCB5"/>
    <w:rsid w:val="15E41483"/>
    <w:rsid w:val="165591C2"/>
    <w:rsid w:val="16730AEC"/>
    <w:rsid w:val="16BE5580"/>
    <w:rsid w:val="16F190CB"/>
    <w:rsid w:val="17096DEC"/>
    <w:rsid w:val="17C7FD7C"/>
    <w:rsid w:val="17D1101B"/>
    <w:rsid w:val="17E4F6E1"/>
    <w:rsid w:val="180CF46B"/>
    <w:rsid w:val="185BDABB"/>
    <w:rsid w:val="18954E27"/>
    <w:rsid w:val="1905BB19"/>
    <w:rsid w:val="195D51EF"/>
    <w:rsid w:val="199EAC37"/>
    <w:rsid w:val="19A0384D"/>
    <w:rsid w:val="19D08B22"/>
    <w:rsid w:val="19D8F520"/>
    <w:rsid w:val="19DA1E02"/>
    <w:rsid w:val="19F25349"/>
    <w:rsid w:val="1A5A6A32"/>
    <w:rsid w:val="1AB32DE4"/>
    <w:rsid w:val="1AD77C28"/>
    <w:rsid w:val="1B5DBB77"/>
    <w:rsid w:val="1BBE807D"/>
    <w:rsid w:val="1C27765D"/>
    <w:rsid w:val="1C60D503"/>
    <w:rsid w:val="1C683648"/>
    <w:rsid w:val="1CA066CD"/>
    <w:rsid w:val="1CE76F1A"/>
    <w:rsid w:val="1D5259FF"/>
    <w:rsid w:val="1DDEA4C2"/>
    <w:rsid w:val="1DE8951E"/>
    <w:rsid w:val="1DF75512"/>
    <w:rsid w:val="1E3AAFC1"/>
    <w:rsid w:val="1F57CD65"/>
    <w:rsid w:val="1F829C8F"/>
    <w:rsid w:val="1FA24BAF"/>
    <w:rsid w:val="1FA2850F"/>
    <w:rsid w:val="20446C5A"/>
    <w:rsid w:val="20D871D2"/>
    <w:rsid w:val="20DAA779"/>
    <w:rsid w:val="215F19EB"/>
    <w:rsid w:val="21E06E91"/>
    <w:rsid w:val="22185EC8"/>
    <w:rsid w:val="22ECBD83"/>
    <w:rsid w:val="232A093B"/>
    <w:rsid w:val="23ADFC4E"/>
    <w:rsid w:val="23B62E52"/>
    <w:rsid w:val="23BE1BD8"/>
    <w:rsid w:val="23E79C39"/>
    <w:rsid w:val="249D8E03"/>
    <w:rsid w:val="24C5D99C"/>
    <w:rsid w:val="24D16906"/>
    <w:rsid w:val="24EEFC05"/>
    <w:rsid w:val="24F8601C"/>
    <w:rsid w:val="251BE1DC"/>
    <w:rsid w:val="256A1DCC"/>
    <w:rsid w:val="25CEDAFC"/>
    <w:rsid w:val="2607188D"/>
    <w:rsid w:val="26128065"/>
    <w:rsid w:val="2613BFCC"/>
    <w:rsid w:val="26289110"/>
    <w:rsid w:val="26295976"/>
    <w:rsid w:val="26323B27"/>
    <w:rsid w:val="265A6D76"/>
    <w:rsid w:val="2661A9FD"/>
    <w:rsid w:val="2674BBEE"/>
    <w:rsid w:val="27B248DD"/>
    <w:rsid w:val="2804A62B"/>
    <w:rsid w:val="280AFF3B"/>
    <w:rsid w:val="285840B7"/>
    <w:rsid w:val="28A92784"/>
    <w:rsid w:val="28DB1D61"/>
    <w:rsid w:val="28FE011E"/>
    <w:rsid w:val="290CFF3A"/>
    <w:rsid w:val="294F179F"/>
    <w:rsid w:val="29E07C2A"/>
    <w:rsid w:val="2A0A0D93"/>
    <w:rsid w:val="2A576126"/>
    <w:rsid w:val="2B32A810"/>
    <w:rsid w:val="2B5963D5"/>
    <w:rsid w:val="2B7321A3"/>
    <w:rsid w:val="2B75D6DB"/>
    <w:rsid w:val="2BDCEC20"/>
    <w:rsid w:val="2BF22720"/>
    <w:rsid w:val="2D2FD41B"/>
    <w:rsid w:val="2D3078CB"/>
    <w:rsid w:val="2D48EF50"/>
    <w:rsid w:val="2D64FE1E"/>
    <w:rsid w:val="2D6B43EE"/>
    <w:rsid w:val="2D958F85"/>
    <w:rsid w:val="2DF9C35F"/>
    <w:rsid w:val="2F00CE7F"/>
    <w:rsid w:val="2F1690C4"/>
    <w:rsid w:val="2F637332"/>
    <w:rsid w:val="2FC0638E"/>
    <w:rsid w:val="30748D73"/>
    <w:rsid w:val="30EFEA78"/>
    <w:rsid w:val="311D6808"/>
    <w:rsid w:val="31759337"/>
    <w:rsid w:val="32250486"/>
    <w:rsid w:val="324C6866"/>
    <w:rsid w:val="32CCE656"/>
    <w:rsid w:val="3329EF68"/>
    <w:rsid w:val="3345425F"/>
    <w:rsid w:val="335A644F"/>
    <w:rsid w:val="33F25308"/>
    <w:rsid w:val="342E2E7C"/>
    <w:rsid w:val="346E0880"/>
    <w:rsid w:val="354C365F"/>
    <w:rsid w:val="36224E8A"/>
    <w:rsid w:val="36481D41"/>
    <w:rsid w:val="36AF73CC"/>
    <w:rsid w:val="36B767E1"/>
    <w:rsid w:val="37515044"/>
    <w:rsid w:val="377420D6"/>
    <w:rsid w:val="377A4805"/>
    <w:rsid w:val="382472DB"/>
    <w:rsid w:val="385772D0"/>
    <w:rsid w:val="3866855C"/>
    <w:rsid w:val="38758434"/>
    <w:rsid w:val="388AC79A"/>
    <w:rsid w:val="38C290BB"/>
    <w:rsid w:val="39179FD3"/>
    <w:rsid w:val="3987ED39"/>
    <w:rsid w:val="398CEE43"/>
    <w:rsid w:val="39B77E44"/>
    <w:rsid w:val="3A10F330"/>
    <w:rsid w:val="3A782C38"/>
    <w:rsid w:val="3AEC575C"/>
    <w:rsid w:val="3AF63C14"/>
    <w:rsid w:val="3B1833A2"/>
    <w:rsid w:val="3B30DC6B"/>
    <w:rsid w:val="3B46C7B2"/>
    <w:rsid w:val="3B5F0A72"/>
    <w:rsid w:val="3B701D10"/>
    <w:rsid w:val="3B9B9046"/>
    <w:rsid w:val="3BD886C7"/>
    <w:rsid w:val="3BF6262B"/>
    <w:rsid w:val="3C3A09AF"/>
    <w:rsid w:val="3C4884D9"/>
    <w:rsid w:val="3C75DF96"/>
    <w:rsid w:val="3C8827BD"/>
    <w:rsid w:val="3C9F7376"/>
    <w:rsid w:val="3CB8EFB3"/>
    <w:rsid w:val="3CC6B138"/>
    <w:rsid w:val="3D003AF8"/>
    <w:rsid w:val="3D15B72B"/>
    <w:rsid w:val="3D3D73E2"/>
    <w:rsid w:val="3DBB3E4C"/>
    <w:rsid w:val="3E366CF2"/>
    <w:rsid w:val="3EE35853"/>
    <w:rsid w:val="3FD86482"/>
    <w:rsid w:val="3FF18CDF"/>
    <w:rsid w:val="3FF3144C"/>
    <w:rsid w:val="40635F88"/>
    <w:rsid w:val="407DE498"/>
    <w:rsid w:val="415D3390"/>
    <w:rsid w:val="417184F3"/>
    <w:rsid w:val="4201A26C"/>
    <w:rsid w:val="422BD5DD"/>
    <w:rsid w:val="4284C5CA"/>
    <w:rsid w:val="42A36C9D"/>
    <w:rsid w:val="42B1C49E"/>
    <w:rsid w:val="432BA4B7"/>
    <w:rsid w:val="4399037D"/>
    <w:rsid w:val="43C69E35"/>
    <w:rsid w:val="4444FAC0"/>
    <w:rsid w:val="44ABD5A5"/>
    <w:rsid w:val="44CB554E"/>
    <w:rsid w:val="45721285"/>
    <w:rsid w:val="457AB698"/>
    <w:rsid w:val="45F5BC59"/>
    <w:rsid w:val="46013694"/>
    <w:rsid w:val="4680086B"/>
    <w:rsid w:val="469514CD"/>
    <w:rsid w:val="46B46E78"/>
    <w:rsid w:val="46BD4CF3"/>
    <w:rsid w:val="46C7975E"/>
    <w:rsid w:val="46EB9E87"/>
    <w:rsid w:val="473028B6"/>
    <w:rsid w:val="4785CC4D"/>
    <w:rsid w:val="48760871"/>
    <w:rsid w:val="48B119FC"/>
    <w:rsid w:val="48E87431"/>
    <w:rsid w:val="48E8B245"/>
    <w:rsid w:val="48EFFB7E"/>
    <w:rsid w:val="493DBD7F"/>
    <w:rsid w:val="497AA717"/>
    <w:rsid w:val="498261CC"/>
    <w:rsid w:val="49B8D4D8"/>
    <w:rsid w:val="4A2CE63A"/>
    <w:rsid w:val="4A8DAFAE"/>
    <w:rsid w:val="4B1D360E"/>
    <w:rsid w:val="4B290983"/>
    <w:rsid w:val="4B343F86"/>
    <w:rsid w:val="4B7E0CD4"/>
    <w:rsid w:val="4BAE2A67"/>
    <w:rsid w:val="4BFBD503"/>
    <w:rsid w:val="4C60D5ED"/>
    <w:rsid w:val="4CA6A739"/>
    <w:rsid w:val="4CA92C5E"/>
    <w:rsid w:val="4CFBDC30"/>
    <w:rsid w:val="4D176773"/>
    <w:rsid w:val="4E6C5015"/>
    <w:rsid w:val="4EC21F04"/>
    <w:rsid w:val="4F05039A"/>
    <w:rsid w:val="4F2F0227"/>
    <w:rsid w:val="4F5C9242"/>
    <w:rsid w:val="4FC21D23"/>
    <w:rsid w:val="5020673A"/>
    <w:rsid w:val="504001AB"/>
    <w:rsid w:val="50473D9E"/>
    <w:rsid w:val="51522691"/>
    <w:rsid w:val="515889A4"/>
    <w:rsid w:val="5172986D"/>
    <w:rsid w:val="51F715F5"/>
    <w:rsid w:val="521EB65A"/>
    <w:rsid w:val="522FE2ED"/>
    <w:rsid w:val="52646A6B"/>
    <w:rsid w:val="52807A88"/>
    <w:rsid w:val="528EBD65"/>
    <w:rsid w:val="52A6C796"/>
    <w:rsid w:val="52EA4170"/>
    <w:rsid w:val="5335BC9A"/>
    <w:rsid w:val="5363BDC5"/>
    <w:rsid w:val="538942D0"/>
    <w:rsid w:val="54458B1B"/>
    <w:rsid w:val="54848DBD"/>
    <w:rsid w:val="54AAEFF7"/>
    <w:rsid w:val="54DB21CC"/>
    <w:rsid w:val="54F0E305"/>
    <w:rsid w:val="55062958"/>
    <w:rsid w:val="5517BA64"/>
    <w:rsid w:val="55BC33B5"/>
    <w:rsid w:val="55EAF969"/>
    <w:rsid w:val="55ED0765"/>
    <w:rsid w:val="568B4C44"/>
    <w:rsid w:val="56F7B76B"/>
    <w:rsid w:val="57300816"/>
    <w:rsid w:val="5800A6AC"/>
    <w:rsid w:val="58053938"/>
    <w:rsid w:val="59DDD506"/>
    <w:rsid w:val="59E9C9C6"/>
    <w:rsid w:val="59F33F50"/>
    <w:rsid w:val="5A42D82E"/>
    <w:rsid w:val="5A98B11E"/>
    <w:rsid w:val="5B12494E"/>
    <w:rsid w:val="5B1E59DD"/>
    <w:rsid w:val="5BA2493F"/>
    <w:rsid w:val="5BA42A93"/>
    <w:rsid w:val="5C0D5CF6"/>
    <w:rsid w:val="5C11C74E"/>
    <w:rsid w:val="5C3E2643"/>
    <w:rsid w:val="5CD15548"/>
    <w:rsid w:val="5D354BC6"/>
    <w:rsid w:val="5D781B22"/>
    <w:rsid w:val="5E0F392E"/>
    <w:rsid w:val="5E1F582F"/>
    <w:rsid w:val="5E46DE1B"/>
    <w:rsid w:val="5E539227"/>
    <w:rsid w:val="5E5ABB9F"/>
    <w:rsid w:val="5E5E3EDB"/>
    <w:rsid w:val="5F1A5E16"/>
    <w:rsid w:val="5F6F93BD"/>
    <w:rsid w:val="5F90A94D"/>
    <w:rsid w:val="5F96C4B6"/>
    <w:rsid w:val="5FA6B9AF"/>
    <w:rsid w:val="5FCEF704"/>
    <w:rsid w:val="5FEAE21E"/>
    <w:rsid w:val="604DB1AB"/>
    <w:rsid w:val="60A9BA09"/>
    <w:rsid w:val="61249618"/>
    <w:rsid w:val="617DD8C2"/>
    <w:rsid w:val="61954C38"/>
    <w:rsid w:val="620AC0F7"/>
    <w:rsid w:val="62126531"/>
    <w:rsid w:val="624C81ED"/>
    <w:rsid w:val="62569F39"/>
    <w:rsid w:val="628068A5"/>
    <w:rsid w:val="62818E9F"/>
    <w:rsid w:val="62CAE3B5"/>
    <w:rsid w:val="635FB058"/>
    <w:rsid w:val="64266646"/>
    <w:rsid w:val="644E4B6A"/>
    <w:rsid w:val="64B4F951"/>
    <w:rsid w:val="64BF2108"/>
    <w:rsid w:val="64CCD427"/>
    <w:rsid w:val="650DB1F1"/>
    <w:rsid w:val="65AAB482"/>
    <w:rsid w:val="65F02745"/>
    <w:rsid w:val="65F4551B"/>
    <w:rsid w:val="66403068"/>
    <w:rsid w:val="66F14042"/>
    <w:rsid w:val="672C8A4B"/>
    <w:rsid w:val="673B976D"/>
    <w:rsid w:val="673DD9B3"/>
    <w:rsid w:val="6778B957"/>
    <w:rsid w:val="677ED387"/>
    <w:rsid w:val="67B9DA1A"/>
    <w:rsid w:val="67C19F67"/>
    <w:rsid w:val="68212541"/>
    <w:rsid w:val="689C86DB"/>
    <w:rsid w:val="68B15CE6"/>
    <w:rsid w:val="69109AC0"/>
    <w:rsid w:val="69183B70"/>
    <w:rsid w:val="697DBA67"/>
    <w:rsid w:val="69C30F6E"/>
    <w:rsid w:val="6AB3A72A"/>
    <w:rsid w:val="6AB5DCD1"/>
    <w:rsid w:val="6AE01249"/>
    <w:rsid w:val="6BCA0FA1"/>
    <w:rsid w:val="6BF645D5"/>
    <w:rsid w:val="6C09F3C7"/>
    <w:rsid w:val="6C3B21B0"/>
    <w:rsid w:val="6C5B22BC"/>
    <w:rsid w:val="6CC8352D"/>
    <w:rsid w:val="6CD477D3"/>
    <w:rsid w:val="6D0AEADF"/>
    <w:rsid w:val="6D63A685"/>
    <w:rsid w:val="6D7A2DE1"/>
    <w:rsid w:val="6D7F93B9"/>
    <w:rsid w:val="6D8B3062"/>
    <w:rsid w:val="6D9320AF"/>
    <w:rsid w:val="6D9448AD"/>
    <w:rsid w:val="6E5A3E88"/>
    <w:rsid w:val="6EA07C03"/>
    <w:rsid w:val="6ECCB8DA"/>
    <w:rsid w:val="6F54C88E"/>
    <w:rsid w:val="6F9D517F"/>
    <w:rsid w:val="6FF60EE9"/>
    <w:rsid w:val="70192637"/>
    <w:rsid w:val="70877C12"/>
    <w:rsid w:val="70C239AC"/>
    <w:rsid w:val="70E14A22"/>
    <w:rsid w:val="7134EEEE"/>
    <w:rsid w:val="7191DF4A"/>
    <w:rsid w:val="71C9DDDD"/>
    <w:rsid w:val="72941720"/>
    <w:rsid w:val="72C2E6F4"/>
    <w:rsid w:val="72CCE746"/>
    <w:rsid w:val="72F6C362"/>
    <w:rsid w:val="733EE326"/>
    <w:rsid w:val="73492351"/>
    <w:rsid w:val="7434F8BE"/>
    <w:rsid w:val="74EB91AF"/>
    <w:rsid w:val="7509ECEC"/>
    <w:rsid w:val="75345AB8"/>
    <w:rsid w:val="755B2B86"/>
    <w:rsid w:val="75678D00"/>
    <w:rsid w:val="756C1769"/>
    <w:rsid w:val="759D258F"/>
    <w:rsid w:val="76079F40"/>
    <w:rsid w:val="762AC7C3"/>
    <w:rsid w:val="764CFBD1"/>
    <w:rsid w:val="76F55B7A"/>
    <w:rsid w:val="76FACABB"/>
    <w:rsid w:val="78172594"/>
    <w:rsid w:val="7887EFFB"/>
    <w:rsid w:val="795FD08C"/>
    <w:rsid w:val="7991BE24"/>
    <w:rsid w:val="79A4183F"/>
    <w:rsid w:val="7A0043F7"/>
    <w:rsid w:val="7A07675D"/>
    <w:rsid w:val="7A18B7C1"/>
    <w:rsid w:val="7A6A8957"/>
    <w:rsid w:val="7A70993E"/>
    <w:rsid w:val="7A840AB7"/>
    <w:rsid w:val="7AD3887F"/>
    <w:rsid w:val="7AF8D7EB"/>
    <w:rsid w:val="7B1D3F48"/>
    <w:rsid w:val="7B324B5A"/>
    <w:rsid w:val="7B502A40"/>
    <w:rsid w:val="7C478590"/>
    <w:rsid w:val="7CED1F26"/>
    <w:rsid w:val="7D00AEEB"/>
    <w:rsid w:val="7D9C3A17"/>
    <w:rsid w:val="7E05ACB5"/>
    <w:rsid w:val="7E4665B3"/>
    <w:rsid w:val="7E508C2F"/>
    <w:rsid w:val="7E986B97"/>
    <w:rsid w:val="7EC5B148"/>
    <w:rsid w:val="7EC7B071"/>
    <w:rsid w:val="7ECD109F"/>
    <w:rsid w:val="7F0A0C8C"/>
    <w:rsid w:val="7F1519D8"/>
    <w:rsid w:val="7F2432A5"/>
    <w:rsid w:val="7F9381A2"/>
    <w:rsid w:val="7FE4A4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B39425B"/>
  <w15:chartTrackingRefBased/>
  <w15:docId w15:val="{49CBD9B2-8430-4A50-BC0A-2F343490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FA"/>
    <w:rPr>
      <w:rFonts w:ascii="Calibri" w:eastAsia="Calibri" w:hAnsi="Calibri" w:cs="Arial"/>
      <w:sz w:val="20"/>
      <w:szCs w:val="20"/>
    </w:rPr>
  </w:style>
  <w:style w:type="paragraph" w:styleId="Heading2">
    <w:name w:val="heading 2"/>
    <w:basedOn w:val="Normal"/>
    <w:next w:val="Normal"/>
    <w:link w:val="Heading2Char"/>
    <w:uiPriority w:val="9"/>
    <w:unhideWhenUsed/>
    <w:qFormat/>
    <w:rsid w:val="008341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DFA"/>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6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17"/>
    <w:rPr>
      <w:rFonts w:ascii="Segoe UI" w:eastAsia="Calibri" w:hAnsi="Segoe UI" w:cs="Segoe UI"/>
      <w:sz w:val="18"/>
      <w:szCs w:val="18"/>
    </w:rPr>
  </w:style>
  <w:style w:type="paragraph" w:styleId="ListParagraph">
    <w:name w:val="List Paragraph"/>
    <w:basedOn w:val="Normal"/>
    <w:uiPriority w:val="34"/>
    <w:qFormat/>
    <w:rsid w:val="008A38A7"/>
    <w:pPr>
      <w:ind w:left="720"/>
      <w:contextualSpacing/>
    </w:pPr>
  </w:style>
  <w:style w:type="paragraph" w:styleId="Revision">
    <w:name w:val="Revision"/>
    <w:hidden/>
    <w:uiPriority w:val="99"/>
    <w:semiHidden/>
    <w:rsid w:val="0014041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F01C74"/>
    <w:rPr>
      <w:b/>
      <w:bCs/>
    </w:rPr>
  </w:style>
  <w:style w:type="character" w:customStyle="1" w:styleId="CommentSubjectChar">
    <w:name w:val="Comment Subject Char"/>
    <w:basedOn w:val="CommentTextChar"/>
    <w:link w:val="CommentSubject"/>
    <w:uiPriority w:val="99"/>
    <w:semiHidden/>
    <w:rsid w:val="00F01C74"/>
    <w:rPr>
      <w:rFonts w:ascii="Calibri" w:eastAsia="Calibri" w:hAnsi="Calibri" w:cs="Arial"/>
      <w:b/>
      <w:bCs/>
      <w:sz w:val="20"/>
      <w:szCs w:val="20"/>
    </w:rPr>
  </w:style>
  <w:style w:type="character" w:customStyle="1" w:styleId="Heading2Char">
    <w:name w:val="Heading 2 Char"/>
    <w:basedOn w:val="DefaultParagraphFont"/>
    <w:link w:val="Heading2"/>
    <w:uiPriority w:val="9"/>
    <w:rsid w:val="008341E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878D0"/>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878D0"/>
    <w:rPr>
      <w:rFonts w:ascii="Times New Roman" w:eastAsia="Times New Roman" w:hAnsi="Times New Roman" w:cs="Times New Roman"/>
    </w:rPr>
  </w:style>
  <w:style w:type="paragraph" w:styleId="Footer">
    <w:name w:val="footer"/>
    <w:basedOn w:val="Normal"/>
    <w:link w:val="FooterChar"/>
    <w:uiPriority w:val="99"/>
    <w:unhideWhenUsed/>
    <w:rsid w:val="00F878D0"/>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78D0"/>
    <w:rPr>
      <w:rFonts w:ascii="Times New Roman" w:eastAsia="Times New Roman" w:hAnsi="Times New Roman" w:cs="Times New Roman"/>
    </w:rPr>
  </w:style>
  <w:style w:type="character" w:styleId="Hyperlink">
    <w:name w:val="Hyperlink"/>
    <w:basedOn w:val="DefaultParagraphFont"/>
    <w:uiPriority w:val="99"/>
    <w:unhideWhenUsed/>
    <w:rsid w:val="00F878D0"/>
    <w:rPr>
      <w:color w:val="0563C1" w:themeColor="hyperlink"/>
      <w:u w:val="single"/>
    </w:rPr>
  </w:style>
  <w:style w:type="character" w:styleId="UnresolvedMention">
    <w:name w:val="Unresolved Mention"/>
    <w:basedOn w:val="DefaultParagraphFont"/>
    <w:uiPriority w:val="99"/>
    <w:unhideWhenUsed/>
    <w:rsid w:val="00F878D0"/>
    <w:rPr>
      <w:color w:val="605E5C"/>
      <w:shd w:val="clear" w:color="auto" w:fill="E1DFDD"/>
    </w:rPr>
  </w:style>
  <w:style w:type="character" w:styleId="Mention">
    <w:name w:val="Mention"/>
    <w:basedOn w:val="DefaultParagraphFont"/>
    <w:uiPriority w:val="99"/>
    <w:unhideWhenUsed/>
    <w:rsid w:val="00F878D0"/>
    <w:rPr>
      <w:color w:val="2B579A"/>
      <w:shd w:val="clear" w:color="auto" w:fill="E1DFDD"/>
    </w:rPr>
  </w:style>
  <w:style w:type="character" w:customStyle="1" w:styleId="normaltextrun">
    <w:name w:val="normaltextrun"/>
    <w:basedOn w:val="DefaultParagraphFont"/>
    <w:rsid w:val="00F878D0"/>
  </w:style>
  <w:style w:type="character" w:styleId="FollowedHyperlink">
    <w:name w:val="FollowedHyperlink"/>
    <w:basedOn w:val="DefaultParagraphFont"/>
    <w:uiPriority w:val="99"/>
    <w:semiHidden/>
    <w:unhideWhenUsed/>
    <w:rsid w:val="00F87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dc.gov/nchs/data/nhanes/2015-2016/questionnaires/OHQ_I.pdf" TargetMode="External"/><Relationship Id="rId18" Type="http://schemas.openxmlformats.org/officeDocument/2006/relationships/hyperlink" Target="https://www.bmj.com/content/371/bmj.m4022" TargetMode="External"/><Relationship Id="rId26" Type="http://schemas.openxmlformats.org/officeDocument/2006/relationships/hyperlink" Target="https://publications.aap.org/pediatrics/article/146/6/e2020034637/33536/Fluoride-Use-in-Caries-Prevention-in-the-Primary" TargetMode="External"/><Relationship Id="rId21" Type="http://schemas.openxmlformats.org/officeDocument/2006/relationships/hyperlink" Target="https://malegislature.gov/Laws/GeneralLaws/PartI/TitleXV/Chapter94C/Section24A" TargetMode="External"/><Relationship Id="rId34"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info-details/massachusetts-delivery-system-reform-incentive-payment-program" TargetMode="External"/><Relationship Id="rId25" Type="http://schemas.openxmlformats.org/officeDocument/2006/relationships/hyperlink" Target="https://www.mcpapformoms.org/" TargetMode="External"/><Relationship Id="rId33" Type="http://schemas.openxmlformats.org/officeDocument/2006/relationships/header" Target="header1.xml"/><Relationship Id="rId29" Type="http://schemas.openxmlformats.org/officeDocument/2006/relationships/hyperlink" Target="https://www.samhsa.gov/medication-assisted-treatment/become-buprenorphine-waivered-practitioner" TargetMode="External"/><Relationship Id="rId16" Type="http://schemas.openxmlformats.org/officeDocument/2006/relationships/hyperlink" Target="https://www.mass.gov/guides/masshealth-community-partners-cp-program-information-for-providers" TargetMode="External"/><Relationship Id="rId20" Type="http://schemas.openxmlformats.org/officeDocument/2006/relationships/hyperlink" Target="https://implementationscience.biomedcentral.com/articles/10.1186/s13012-018-080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cpap.com/" TargetMode="External"/><Relationship Id="rId32" Type="http://schemas.openxmlformats.org/officeDocument/2006/relationships/hyperlink" Target="https://www.samhsa.gov/sites/default/files/quick-start-guide.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guides/masshealth-all-provider-manual-appendices" TargetMode="External"/><Relationship Id="rId23" Type="http://schemas.openxmlformats.org/officeDocument/2006/relationships/hyperlink" Target="https://www.mass.gov/guides/masshealth-all-provider-manual-appendices" TargetMode="External"/><Relationship Id="rId28" Type="http://schemas.openxmlformats.org/officeDocument/2006/relationships/hyperlink" Target="https://www.mass.gov/info-details/wic-medical-referral-form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bi.nlm.nih.gov/pmc/articles/PMC6647165/" TargetMode="External"/><Relationship Id="rId31" Type="http://schemas.openxmlformats.org/officeDocument/2006/relationships/hyperlink" Target="http://www.mcpa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masshealth-dental.net/MH_Find_a_Provider" TargetMode="External"/><Relationship Id="rId22" Type="http://schemas.openxmlformats.org/officeDocument/2006/relationships/hyperlink" Target="https://www.mass.gov/info-details/wic-medical-referral-forms" TargetMode="External"/><Relationship Id="rId27" Type="http://schemas.openxmlformats.org/officeDocument/2006/relationships/hyperlink" Target="https://www.samhsa.gov/medication-assisted-treatment/become-buprenorphine-waivered-practitioner" TargetMode="External"/><Relationship Id="rId30" Type="http://schemas.openxmlformats.org/officeDocument/2006/relationships/hyperlink" Target="http://www.mcpap.com" TargetMode="External"/><Relationship Id="rId35"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52E80A032574C85AFC8E1EDEAE63B" ma:contentTypeVersion="4" ma:contentTypeDescription="Create a new document." ma:contentTypeScope="" ma:versionID="e96b2f98217120aeb7fa836a6f3a79f8">
  <xsd:schema xmlns:xsd="http://www.w3.org/2001/XMLSchema" xmlns:xs="http://www.w3.org/2001/XMLSchema" xmlns:p="http://schemas.microsoft.com/office/2006/metadata/properties" xmlns:ns2="b37fdf11-447b-45ff-ae17-28c1cff47fd2" xmlns:ns3="56edfc87-841d-412c-92fb-a3bff7634b4b" targetNamespace="http://schemas.microsoft.com/office/2006/metadata/properties" ma:root="true" ma:fieldsID="c5dcfe1a21704c853d4eaea414e58658" ns2:_="" ns3:_="">
    <xsd:import namespace="b37fdf11-447b-45ff-ae17-28c1cff47fd2"/>
    <xsd:import namespace="56edfc87-841d-412c-92fb-a3bff7634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fdf11-447b-45ff-ae17-28c1cff47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dfc87-841d-412c-92fb-a3bff7634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ca7606-c918-4595-bd59-8c4ec440dd12">
      <UserInfo>
        <DisplayName>Everyone except external users</DisplayName>
        <AccountId>10</AccountId>
        <AccountType/>
      </UserInfo>
      <UserInfo>
        <DisplayName>Averill, Annie (EHS)</DisplayName>
        <AccountId>122</AccountId>
        <AccountType/>
      </UserInfo>
      <UserInfo>
        <DisplayName>Mengesha, Tadelech (EHS)</DisplayName>
        <AccountId>23</AccountId>
        <AccountType/>
      </UserInfo>
      <UserInfo>
        <DisplayName>Robinson, Lee (EHS)</DisplayName>
        <AccountId>148</AccountId>
        <AccountType/>
      </UserInfo>
      <UserInfo>
        <DisplayName>Dar, Mohammad (EHS)</DisplayName>
        <AccountId>25</AccountId>
        <AccountType/>
      </UserInfo>
      <UserInfo>
        <DisplayName>Evans, Alisa (EHS)</DisplayName>
        <AccountId>30</AccountId>
        <AccountType/>
      </UserInfo>
      <UserInfo>
        <DisplayName>Barton, Julie (EHS)</DisplayName>
        <AccountId>13</AccountId>
        <AccountType/>
      </UserInfo>
      <UserInfo>
        <DisplayName>Stoltz, Rebecca (EHS)</DisplayName>
        <AccountId>35</AccountId>
        <AccountType/>
      </UserInfo>
      <UserInfo>
        <DisplayName>Lannon, Jamie (EHS)</DisplayName>
        <AccountId>215</AccountId>
        <AccountType/>
      </UserInfo>
      <UserInfo>
        <DisplayName>Vu, Ryan (EHS)</DisplayName>
        <AccountId>9</AccountId>
        <AccountType/>
      </UserInfo>
      <UserInfo>
        <DisplayName>Towey, Caitlin (EHS)</DisplayName>
        <AccountId>54</AccountId>
        <AccountType/>
      </UserInfo>
      <UserInfo>
        <DisplayName>Schwarz, Ryan (EHS)</DisplayName>
        <AccountId>11</AccountId>
        <AccountType/>
      </UserInfo>
      <UserInfo>
        <DisplayName>Farlow, Martha (EHS)</DisplayName>
        <AccountId>39</AccountId>
        <AccountType/>
      </UserInfo>
      <UserInfo>
        <DisplayName>Levine, Mike (EHS)</DisplayName>
        <AccountId>120</AccountId>
        <AccountType/>
      </UserInfo>
      <UserInfo>
        <DisplayName>Mahalingam-Dhingra, Aditya (EHS)</DisplayName>
        <AccountId>102</AccountId>
        <AccountType/>
      </UserInfo>
      <UserInfo>
        <DisplayName>Werts, Sabrina (EHS)</DisplayName>
        <AccountId>151</AccountId>
        <AccountType/>
      </UserInfo>
      <UserInfo>
        <DisplayName>Duggal, Sonali (EHS)</DisplayName>
        <AccountId>94</AccountId>
        <AccountType/>
      </UserInfo>
      <UserInfo>
        <DisplayName>Kaduboski, Jimmy (EHS)</DisplayName>
        <AccountId>77</AccountId>
        <AccountType/>
      </UserInfo>
    </SharedWithUsers>
    <lcf76f155ced4ddcb4097134ff3c332f xmlns="8094a1f7-e87f-499e-a45d-fcd654b18acc">
      <Terms xmlns="http://schemas.microsoft.com/office/infopath/2007/PartnerControls"/>
    </lcf76f155ced4ddcb4097134ff3c332f>
    <TaxCatchAll xmlns="b4ca7606-c918-4595-bd59-8c4ec440dd12" xsi:nil="true"/>
    <_Flow_SignoffStatus xmlns="8094a1f7-e87f-499e-a45d-fcd654b18a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04C1A68BCDB84987E374B0D969BAD9" ma:contentTypeVersion="18" ma:contentTypeDescription="Create a new document." ma:contentTypeScope="" ma:versionID="07a8887e137c4debfa159435b1b1b878">
  <xsd:schema xmlns:xsd="http://www.w3.org/2001/XMLSchema" xmlns:xs="http://www.w3.org/2001/XMLSchema" xmlns:p="http://schemas.microsoft.com/office/2006/metadata/properties" xmlns:ns2="8094a1f7-e87f-499e-a45d-fcd654b18acc" xmlns:ns3="b4ca7606-c918-4595-bd59-8c4ec440dd12" targetNamespace="http://schemas.microsoft.com/office/2006/metadata/properties" ma:root="true" ma:fieldsID="28a93f9a1ffa21707fa2d541b10fcf87" ns2:_="" ns3:_="">
    <xsd:import namespace="8094a1f7-e87f-499e-a45d-fcd654b18acc"/>
    <xsd:import namespace="b4ca7606-c918-4595-bd59-8c4ec440d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4a1f7-e87f-499e-a45d-fcd654b18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e5ee79-a0d5-4599-a710-4b5df4c104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a7606-c918-4595-bd59-8c4ec440d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3c3dfb2-c01c-43d6-88fd-d2845f220f20}" ma:internalName="TaxCatchAll" ma:showField="CatchAllData" ma:web="b4ca7606-c918-4595-bd59-8c4ec440d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9A378-6F1A-4DF9-BE29-6AD4653A386A}">
  <ds:schemaRefs>
    <ds:schemaRef ds:uri="http://schemas.microsoft.com/sharepoint/v3/contenttype/forms"/>
  </ds:schemaRefs>
</ds:datastoreItem>
</file>

<file path=customXml/itemProps2.xml><?xml version="1.0" encoding="utf-8"?>
<ds:datastoreItem xmlns:ds="http://schemas.openxmlformats.org/officeDocument/2006/customXml" ds:itemID="{489D2838-CB12-4378-83E6-69FA13F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fdf11-447b-45ff-ae17-28c1cff47fd2"/>
    <ds:schemaRef ds:uri="56edfc87-841d-412c-92fb-a3bff7634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76A4-943F-4153-A400-6C02F083024B}">
  <ds:schemaRefs>
    <ds:schemaRef ds:uri="http://schemas.microsoft.com/office/2006/metadata/properties"/>
    <ds:schemaRef ds:uri="http://schemas.microsoft.com/office/infopath/2007/PartnerControls"/>
    <ds:schemaRef ds:uri="56edfc87-841d-412c-92fb-a3bff7634b4b"/>
  </ds:schemaRefs>
</ds:datastoreItem>
</file>

<file path=customXml/itemProps4.xml><?xml version="1.0" encoding="utf-8"?>
<ds:datastoreItem xmlns:ds="http://schemas.openxmlformats.org/officeDocument/2006/customXml" ds:itemID="{1F44B6A2-E205-43CE-8D34-4496322F6BBC}"/>
</file>

<file path=docProps/app.xml><?xml version="1.0" encoding="utf-8"?>
<Properties xmlns="http://schemas.openxmlformats.org/officeDocument/2006/extended-properties" xmlns:vt="http://schemas.openxmlformats.org/officeDocument/2006/docPropsVTypes">
  <Template>Normal</Template>
  <TotalTime>1</TotalTime>
  <Pages>15</Pages>
  <Words>6265</Words>
  <Characters>35717</Characters>
  <Application>Microsoft Office Word</Application>
  <DocSecurity>0</DocSecurity>
  <Lines>297</Lines>
  <Paragraphs>83</Paragraphs>
  <ScaleCrop>false</ScaleCrop>
  <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Julie (EHS)</dc:creator>
  <cp:keywords/>
  <dc:description/>
  <cp:lastModifiedBy>Morrison, Melissa (EHS)</cp:lastModifiedBy>
  <cp:revision>3</cp:revision>
  <dcterms:created xsi:type="dcterms:W3CDTF">2022-06-29T13:27:00Z</dcterms:created>
  <dcterms:modified xsi:type="dcterms:W3CDTF">2022-06-29T13:28:00Z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0x0101008004C1A68BCDB84987E374B0D969BAD9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